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11 De Mayo De 2026</w:t>
      </w:r>
    </w:p>
    <w:p>
      <w:pPr>
        <w:jc w:val="center"/>
      </w:pPr>
      <w:r>
        <w:rPr>
          <w:rFonts w:ascii="Arial" w:hAnsi="Arial"/>
          <w:color w:val="999999"/>
          <w:sz w:val="20"/>
        </w:rPr>
        <w:t>6 secciones  ·  25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al alza y recupera los 11.800 puntos con fuerte apoyo de SQM a medida que se prolonga la crisis del golfo Pérsico</w:t>
      </w:r>
    </w:p>
    <w:p>
      <w:pPr>
        <w:spacing w:before="40" w:after="60"/>
        <w:ind w:left="283"/>
      </w:pPr>
      <w:r>
        <w:rPr>
          <w:rFonts w:ascii="Arial" w:hAnsi="Arial"/>
          <w:color w:val="404040"/>
          <w:sz w:val="21"/>
        </w:rPr>
        <w:t>El S&amp;P IPSA chileno subió 0,6% a 10.819 puntos al inicio de la semana, impulsado principalmente por SQM-B que avanzó 4,1% tras las declaraciones de Trump calificando como 'totalmente inaceptable' la respuesta de Irán a la propuesta de paz estadounidense. CAP fue el mayor perdedor de la jornada con una caída de 4,5%, luego de que sus resultados operacionales del primer trimestre quedaran muy por debajo de las estimaciones del mercado. El petróleo Brent subía 1,8% a US$ 103 el barril y el cobre se consolidaba sobre US$ 6 la libra. Los mercados permanecen atentos al IPC de abril de EE.UU. esperado el martes y a la cumbre Trump-Xi Jinping prevista para jueves y viernes.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Day aterriza en Canadá y CEO de Scotiabank asegura: "El país sigue siendo un mercado central para nuestro banco"</w:t>
      </w:r>
    </w:p>
    <w:p>
      <w:pPr>
        <w:spacing w:before="40" w:after="60"/>
        <w:ind w:left="283"/>
      </w:pPr>
      <w:r>
        <w:rPr>
          <w:rFonts w:ascii="Arial" w:hAnsi="Arial"/>
          <w:color w:val="404040"/>
          <w:sz w:val="21"/>
        </w:rPr>
        <w:t>Scott Thomson, presidente y CEO global de Scotiabank, abrió la segunda jornada de Chile Day 2026 en Toronto destacando que Chile es un mercado central para el banco, donde llevan 35 años operando con más de 1,3 millones de clientes y donde se posicionan como el tercer mayor banco del país. Canadá es el mayor inversionista extranjero en Chile con más de US$ 27 mil millones en inversiones, relación que Thomson describió como construida sobre confianza y compromiso con el crecimiento sostenible. El secretario parlamentario del Ministerio de Comercio de Canadá, Yasir Naqvi, destacó la alineación bilateral en minerales críticos y transición energética, llamando a profundizar alianzas en sectores como aeroespacial, tecnologías limpias y cadenas de suministro resilientes. Ambos representantes coincidieron en que existe 'potencial significativo' por desarrollar en la relación económica y comercial entre ambos países.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al alza mientras petróleo repunta tras rechazo de Trump a respuesta iraní en negociaciones de paz</w:t>
      </w:r>
    </w:p>
    <w:p>
      <w:pPr>
        <w:spacing w:before="40" w:after="60"/>
        <w:ind w:left="283"/>
      </w:pPr>
      <w:r>
        <w:rPr>
          <w:rFonts w:ascii="Arial" w:hAnsi="Arial"/>
          <w:color w:val="404040"/>
          <w:sz w:val="21"/>
        </w:rPr>
        <w:t>El tipo de cambio chileno subió $3,7 hasta $894,5 en las primeras transacciones del lunes, reaccionando al rechazo de Trump a la respuesta iraní sobre las condiciones de paz, lo que endureció las condiciones financieras globales. El petróleo Brent repuntó 3% a US$ 104 el barril, mientras el dólar index se fortaleció levemente, aunque el cobre contrarrestó con un alza de 1,5% a US$ 6,39 por libra en Comex, su mayor nivel desde finales de enero. Irán habría exigido el levantamiento del bloqueo naval, alivio de sanciones y control sobre el tráfico en el estrecho de Ormuz, además de un alto al fuego general que incluyera el Líbano. El mercado aguarda el IPC de abril de EE.UU. y la cumbre entre Trump y Xi Jinping programada para la segunda mitad de la semana.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cobre alcanza su máximo en tres meses en Londres ante preocupaciones sobre el suministro</w:t>
      </w:r>
    </w:p>
    <w:p>
      <w:pPr>
        <w:spacing w:before="40" w:after="60"/>
        <w:ind w:left="283"/>
      </w:pPr>
      <w:r>
        <w:rPr>
          <w:rFonts w:ascii="Arial" w:hAnsi="Arial"/>
          <w:color w:val="404040"/>
          <w:sz w:val="21"/>
        </w:rPr>
        <w:t>El cobre en la Bolsa de Metales de Londres alcanzó US$ 13.637 por tonelada métrica (US$ 6,18 por libra), su mayor nivel desde el 29 de enero, encadenando su sexta sesión consecutiva de avances, la racha alcista más larga desde diciembre. El impulso proviene de preocupaciones de oferta, entre ellas el retraso anunciado por Freeport para la reanudación total de su mina Grasberg hasta principios de 2028, y datos de inflación industrial en China que superaron las expectativas del mercado. Analistas de Saxo Bank señalaron que la ruptura técnica del cobre sobre los US$ 13.500, nivel rechazado en varias ocasiones desde febrero, atrajo fondos que operan con niveles técnicos, mostrando solidez a pesar del contexto de incertidumbre geopolítica. El metal acumula un alza de cerca de 10% en lo que va de 2026, aunque aún se ubica por debajo del récord de US$ 14.527,50 por tonelada alcanzado en enero.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Cuatro AFP redujeron la cantidad de trabajadores al primer trimestre, pero industria fortaleció su fuerza de venta</w:t>
      </w:r>
    </w:p>
    <w:p>
      <w:pPr>
        <w:spacing w:before="40" w:after="60"/>
        <w:ind w:left="283"/>
      </w:pPr>
      <w:r>
        <w:rPr>
          <w:rFonts w:ascii="Arial" w:hAnsi="Arial"/>
          <w:color w:val="404040"/>
          <w:sz w:val="21"/>
        </w:rPr>
        <w:t>Cuatro de las siete AFP del sistema previsional redujeron su dotación de personal en el primer trimestre de 2026: ProVida pasó de 1.498 a 1.270 empleados y reportó una baja de 13,3% en sus gastos de personal a $15.027 millones, mientras que Habitat redujo en 10,95% sus gastos de personal hasta $12.695 millones. A nivel de industria, las alzas de Capital, Cuprum y PlanVital compensaron las bajas, cerrando el sector con 7.099 trabajadores en total. Pese a la reducción de personal, la fuerza de venta de la industria aumentó a 2.730 vendedores desde los 2.678 del mismo período de 2025, con Capital sumando 76 nuevos vendedores y Cuprum 67, aunque ProVida redujo su fuerza comercial en 154 personas.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Compañía de software para minería Workmate prepara salida a la Bolsa de Santiago a través de ScaleX</w:t>
      </w:r>
    </w:p>
    <w:p>
      <w:pPr>
        <w:spacing w:before="40" w:after="60"/>
        <w:ind w:left="283"/>
      </w:pPr>
      <w:r>
        <w:rPr>
          <w:rFonts w:ascii="Arial" w:hAnsi="Arial"/>
          <w:color w:val="404040"/>
          <w:sz w:val="21"/>
        </w:rPr>
        <w:t>La firma chilena Workmate, proveedora de soluciones tecnológicas y servicios para la gran minería con contratos con BHP y Codelco, prepara su ingreso a la Bolsa de Santiago a través del programa ScaleX con un aumento de capital de cerca de US$ 3 millones, equivalente a aproximadamente el 10% de sus acciones post-money. La empresa, que genera ventas anuales de alrededor de US$ 30 millones con contratos de largo plazo, destinará los recursos principalmente a financiar su expansión internacional en Perú, Argentina, México y Australia. El precio por acción se definiría a fines de mayo, con un roadshow en junio entre inversionistas privados e institucionales, y la colocación proyectada para inicios del cuarto trimestre; de concretarse, sería la sexta empresa en listarse en ScaleX y la primera proveedora minera con foco en software.</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¿Cómo llegan las acciones de las marcas que auspician el Mundial 2026?</w:t>
      </w:r>
    </w:p>
    <w:p>
      <w:pPr>
        <w:spacing w:before="40" w:after="60"/>
        <w:ind w:left="283"/>
      </w:pPr>
      <w:r>
        <w:rPr>
          <w:rFonts w:ascii="Arial" w:hAnsi="Arial"/>
          <w:color w:val="404040"/>
          <w:sz w:val="21"/>
        </w:rPr>
        <w:t>Los cinco principales sponsors del Mundial de Fútbol FIFA 2026 que cotizan en bolsa llegan al torneo con desempeños dispares: Hyundai lidera con un alza acumulada de 105,4% en el año, impulsada por especulación sobre una eventual salida a bolsa de Boston Dynamics; Aramco avanza 15,7% como acción defensiva vinculada a la geopolítica del Golfo; y Coca-Cola sube 14,2% tras un primer trimestre con crecimiento orgánico de 10%. En la vereda opuesta, Adidas acumula una caída de 10,4% y cotiza 30% bajo sus máximos de 52 semanas, pese a ingresos de US$ 7.765 millones en el primer trimestre; Visa retrocede 7,1% afectada por la incertidumbre macroeconómica y las dudas sobre el gasto transfronterizo por el conflicto en Medio Oriente, pese a reportar ingresos de US$ 11.200 millones con un crecimiento de 17%. Analistas señalan que el torneo podría actuar como catalizador para las empresas rezagadas, aunque sus momentums bursátiles actuales difieren significativamente.</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Cencosud impulsa nuevo proyecto en La Dehesa: considera centro comercial y edificios de viviendas</w:t>
      </w:r>
    </w:p>
    <w:p>
      <w:pPr>
        <w:spacing w:before="40" w:after="60"/>
        <w:ind w:left="283"/>
      </w:pPr>
      <w:r>
        <w:rPr>
          <w:rFonts w:ascii="Arial" w:hAnsi="Arial"/>
          <w:color w:val="404040"/>
          <w:sz w:val="21"/>
        </w:rPr>
        <w:t>Cencosud obtuvo en abril la aprobación de un anteproyecto de edificación en un terreno de 7,7 hectáreas en Av. José Alcalde Délano en Lo Barnechea, adquirido al Colegio Craighouse en 2010 por cerca de US$ 20 millones. El proyecto contempla 136.364 m² construidos con dos inmuebles de equipamiento (62 locales comerciales, gimnasio y centro médico) y cuatro edificios de vivienda con 42 departamentos. Sin embargo, el nuevo Plan Regulador Comunal de Lo Barnechea vigente desde octubre de 2025 haría inviable el proyecto tal como fue presentado, y la empresa aún deberá solicitar un permiso de edificación y someterse al Sistema de Evaluación de Impacto Ambiental. Este proyecto sería el tercero de Cencosud con componente habitacional, sumándose a iniciativas en La Florida y San Isidro, Buenos Aires, en su estrategia de reconversión hacia centros de usos mixtos.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Grenergy cierra nuevo financiamiento por US$ 268 millones para Central Oasis en Chile</w:t>
      </w:r>
    </w:p>
    <w:p>
      <w:pPr>
        <w:spacing w:before="40" w:after="60"/>
        <w:ind w:left="283"/>
      </w:pPr>
      <w:r>
        <w:rPr>
          <w:rFonts w:ascii="Arial" w:hAnsi="Arial"/>
          <w:color w:val="404040"/>
          <w:sz w:val="21"/>
        </w:rPr>
        <w:t>La multinacional española de energía limpia Grenergy cerró un financiamiento sénior sin recurso de US$ 268 millones para la planta de Monte Águila en Chile, dotada de 342 MW solares y 1.034 MWh de almacenamiento, integrante de la plataforma Central Oasis en las regiones del Maule y Biobío. El financiamiento fue suscrito con un sindicato internacional liderado por BNP Paribas, con participación de KFW IPEX-BANK, Rabobank, Natixis y Scotiabank, e incluye un PPA diurno solar por 12 años. Con esta operación, Grenergy acumula cerca de US$ 2.000 millones en financiaciones sin recurso para sus plataformas Oasis en Chile, que proyectan una capacidad total de 1,1 GW solares y 4 GWh de almacenamiento con una inversión estimada de US$ 900 millones y entrada en operación en 2026-2027.</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Acenor y Consejo Minero piden cautela a la CNE por idea de incorporar nuevos servicios para la seguridad de la red</w:t>
      </w:r>
    </w:p>
    <w:p>
      <w:pPr>
        <w:spacing w:before="40" w:after="60"/>
        <w:ind w:left="283"/>
      </w:pPr>
      <w:r>
        <w:rPr>
          <w:rFonts w:ascii="Arial" w:hAnsi="Arial"/>
          <w:color w:val="404040"/>
          <w:sz w:val="21"/>
        </w:rPr>
        <w:t>Acenor y el Consejo Minero enviaron una carta a la CNE solicitando que, antes de crear nuevos Servicios Complementarios (SSCC) remunerados asociados a robustez de frecuencia y tensión, se realice una evaluación técnica y económica rigurosa que acredite la necesidad sistémica, descarte alternativas más eficientes y asegure la correcta asignación de costos. Los gremios advirtieron que estos servicios se financian con cargos al sistema que pagan en última instancia los usuarios regulados y no regulados, y que la caída de rentas de ciertos activos no puede ser fundamento para crear nuevos servicios complementarios. La CNE respondió que está licitando un estudio técnico especializado cuyos resultados serán insumo clave para evaluar la pertinencia de cualquier nueva medida antes de adoptar decisiones regulatorias.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Exjefaturas del SEA abren consultora con foco en agilizar obtención de permisos</w:t>
      </w:r>
    </w:p>
    <w:p>
      <w:pPr>
        <w:spacing w:before="40" w:after="60"/>
        <w:ind w:left="283"/>
      </w:pPr>
      <w:r>
        <w:rPr>
          <w:rFonts w:ascii="Arial" w:hAnsi="Arial"/>
          <w:color w:val="404040"/>
          <w:sz w:val="21"/>
        </w:rPr>
        <w:t>Exfuncionarios del Servicio de Evaluación Ambiental (SEA), encabezados por el abogado Juan Cristóbal Moscoso y Camila Carrasco, fundaron en febrero de 2026 la consultora Inteligencia Ambiental, con el objetivo de agilizar la tramitación ambiental y la obtención de permisos para proyectos de inversión, especialmente en los sectores minero y energético. La firma usa herramientas de inteligencia artificial para anticipar brechas regulatorias, reducir tiempos de tramitación y asegurar el cumplimiento normativo al ingresar al Sistema de Evaluación de Impacto Ambiental. Cuenta con clientes activos en minería y energía y una alianza con Tellus Mining, una de las mayores consultoras de ingeniería para el sector minero a nivel mundial.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Gigante polaca busca minerales en las inmediaciones de Chañaral</w:t>
      </w:r>
    </w:p>
    <w:p>
      <w:pPr>
        <w:spacing w:before="40" w:after="60"/>
        <w:ind w:left="283"/>
      </w:pPr>
      <w:r>
        <w:rPr>
          <w:rFonts w:ascii="Arial" w:hAnsi="Arial"/>
          <w:color w:val="404040"/>
          <w:sz w:val="21"/>
        </w:rPr>
        <w:t>KGHM Polska Miedź, gigante minero polaco y uno de los mayores productores mundiales de cobre y plata, presentó una consulta de pertinencia ante el SEA para realizar sondajes de exploración en una zona a 95 kilómetros al noreste de Chañaral, en el Norte Chico. La solicitud contempla la construcción de 13 nuevas plataformas de sondaje que se suman a 26 ya existentes, con dimensiones estándar de 30x30 metros. La filial chilena de KGHM ya opera la minera Sierra Gorda en el país, lo que subraya el interés del grupo en ampliar su base de recursos en Chile.</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Crecen conflictos judiciales de megalínea Kimal-Lo Aguirre: suben de dos a seis los litigios en un año</w:t>
      </w:r>
    </w:p>
    <w:p>
      <w:pPr>
        <w:spacing w:before="40" w:after="60"/>
        <w:ind w:left="283"/>
      </w:pPr>
      <w:r>
        <w:rPr>
          <w:rFonts w:ascii="Arial" w:hAnsi="Arial"/>
          <w:color w:val="404040"/>
          <w:sz w:val="21"/>
        </w:rPr>
        <w:t>Conexión Kimal-Lo Aguirre, la empresa que construye la primera línea de transmisión eléctrica de corriente continua entre Antofagasta y Santiago con una inversión de US$ 1.500 millones, enfrenta ahora seis procedimientos judiciales, frente a los dos reportados en su memoria 2024. Los litigios incluyen dos causas civiles (nulidad de contrato de servidumbre y un juicio de servidumbre minera), dos litigios laborales y dos contenciosos administrativos, entre ellos recursos de protección presentados por propietarios de predios no afectados por el trazado. La empresa indicó que actúa con prudencia en estas materias y que el proyecto continúa avanzando conforme a la planificación vigente, con entrada en operación proyectada para mayo de 2029.</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Grupo Angelini inscribe su propia marca: podría incursionar en e-commerce, ferias o la banca</w:t>
      </w:r>
    </w:p>
    <w:p>
      <w:pPr>
        <w:spacing w:before="40" w:after="60"/>
        <w:ind w:left="283"/>
      </w:pPr>
      <w:r>
        <w:rPr>
          <w:rFonts w:ascii="Arial" w:hAnsi="Arial"/>
          <w:color w:val="404040"/>
          <w:sz w:val="21"/>
        </w:rPr>
        <w:t>El Grupo Angelini, conglomerado fundado en los años 50 y actualmente dirigido por Roberto Angelini, solicitó por primera vez el registro de la marca 'Grupo Angelini' en el Diario Oficial bajo las categorías 1 a 34 del registro de propiedad industrial. El amplio espectro de la solicitud abarca comercio y retail (físico y por internet, incluyendo marketplace), servicios empresariales como consultoría y recursos humanos, y servicios financieros e inmobiliarios como banca, seguros, corretaje de valores y gestión de inmuebles. Este movimiento sugiere que el conglomerado, cuyo núcleo histórico está en energía (Copec), pesca (Orizon) y forestal (Arauco), podría expandirse hacia nuevos negocios bajo una marca corporativa unificada.</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Italiana Ferrero anuncia inversión de US$ 94 millones en Chile: “Es un país donde tenemos un vínculo especial”</w:t>
      </w:r>
    </w:p>
    <w:p>
      <w:pPr>
        <w:spacing w:before="40" w:after="60"/>
        <w:ind w:left="283"/>
      </w:pPr>
      <w:r>
        <w:rPr>
          <w:rFonts w:ascii="Arial" w:hAnsi="Arial"/>
          <w:color w:val="404040"/>
          <w:sz w:val="21"/>
        </w:rPr>
        <w:t>El CEO de Ferrero Hazelnut Company, Marco Botta, dijo que el país es clave en el abastecimiento global de la compañía. Aquí ya han desembolsado US$ 330 millones. Marco Botta, CEO de Ferrero Hazelnut Company. Foto: Jonathan Duran Todo empezó como muchas cosas en los negocios agrícolas: como un experimento para evaluar plantaciones en nuevas latitudes; en este caso, en el hemisferio sur. Fue así quelos italianos de Ferrero -a través de su filial AgriChile- llegaron a Chile a inicios de los años ‘90con un par de plantas de avellanos europeos, un fruto típico del Mediterráneo que el suelo nacional desconocía, pero en el que echaría rápidamente raíces y se expandiría a través de pruebas de cultivos a lo largo de 600 kilómetros.</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CEO de Sonda delinea ambiciosa hoja de ruta al 2027: “Estamos viendo que las tasas de inversión de las empresas tecnológicas lo único que hacen es crecer”</w:t>
      </w:r>
    </w:p>
    <w:p>
      <w:pPr>
        <w:spacing w:before="40" w:after="60"/>
        <w:ind w:left="283"/>
      </w:pPr>
      <w:r>
        <w:rPr>
          <w:rFonts w:ascii="Arial" w:hAnsi="Arial"/>
          <w:color w:val="404040"/>
          <w:sz w:val="21"/>
        </w:rPr>
        <w:t>En medio de la ejecución de un plan estratégico para el 2027, Castiglione afirmó que propondrán a los accionistas un aumento de capital por cerca de $ 50.000 millones. Elvolumen de la cartera de negocioscerrados porSondaalcanzó niveles históricos. Este primer trimestre de 2026,la empresa tecnológica logró un crecimiento récord del 83,5% respecto al 2025, sumando un monto cercano a los US$ 636 millones. A juicio deMarcelo Castiglione, CEO de la firma,este alto índice de deals suscritos solo demuestra que la carta de navegación anunciada en 2025 –que, entre otras cosas, busca mejorar los márgenes de crecimiento de la compañía de cara al 2027– “está respondiendo a lo que definimos”.</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Claudio Fischer reactiva su icónico proyecto inmobiliario en El Golf: será para oficinas</w:t>
      </w:r>
    </w:p>
    <w:p>
      <w:pPr>
        <w:spacing w:before="40" w:after="60"/>
        <w:ind w:left="283"/>
      </w:pPr>
      <w:r>
        <w:rPr>
          <w:rFonts w:ascii="Arial" w:hAnsi="Arial"/>
          <w:color w:val="404040"/>
          <w:sz w:val="21"/>
        </w:rPr>
        <w:t>El empresario Claudio Fischer inició hace dos semanas la construcción de un edificio de oficinas AAA en la esquina de Isidora Goyenechea con La Pastora en el barrio El Golf, en un terreno de 1.500 m² que permaneció casi una década en espera desde su adquisición en 2018 y que reemplazará a la antigua sede de Unicef. El proyecto se desarrolla sin socios, con la constructora Echeverría &amp; Izquierdo, y Fischer descartó convertirlo en viviendas o apart hotel pese a haber evaluado esa opción. Un segundo proyecto de oficinas en San Sebastián esquina El Bosque comenzaría a fines de 2026; el submercado El Golf muestra una tasa de vacancia de solo 6,9% frente al promedio del Gran Santiago de 9,9%, con arriendos que alcanzan UF 0,72/m², los más altos de la capital.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Claves del Congreso: expectativas por indicaciones de la oposición al proyecto de reactivación económica</w:t>
      </w:r>
    </w:p>
    <w:p>
      <w:pPr>
        <w:spacing w:before="40" w:after="60"/>
        <w:ind w:left="283"/>
      </w:pPr>
      <w:r>
        <w:rPr>
          <w:rFonts w:ascii="Arial" w:hAnsi="Arial"/>
          <w:color w:val="404040"/>
          <w:sz w:val="21"/>
        </w:rPr>
        <w:t>Esta semana la Comisión de Hacienda de la Cámara aborda el proyecto de reactivación económica en particular, con el mediodía del lunes como plazo para presentar indicaciones; se espera que la oposición ingrese alrededor de 2.500 indicaciones y dé a conocer su propia contrapropuesta legislativa. En paralelo, la Comisión de Trabajo avanza en el proyecto de reajuste del salario mínimo con audiencias a expertos el lunes y martes, seguidas de votación en general y particular el martes 12 con presencia del ministro Tomás Rau. Otras materias relevantes de la semana incluyen el estudio de la ley de Propiedad Intelectual en la Comisión de Economía, el proyecto de fortalecimiento ambiental en Medio Ambiente del Senado, y la ampliación del subsidio eléctrico en la Comisión de Hacienda.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Retomar cambios a avalúos y más coordinación con policías: el intenso primer mes del nuevo director del SII</w:t>
      </w:r>
    </w:p>
    <w:p>
      <w:pPr>
        <w:spacing w:before="40" w:after="60"/>
        <w:ind w:left="283"/>
      </w:pPr>
      <w:r>
        <w:rPr>
          <w:rFonts w:ascii="Arial" w:hAnsi="Arial"/>
          <w:color w:val="404040"/>
          <w:sz w:val="21"/>
        </w:rPr>
        <w:t>Jorge Trujillo lleva un mes como director del SII marcado por una agenda de reuniones intensas con decenas de gremios, organismos del Estado y autoridades, destacando la coordinación con Carabineros y la PDI para combatir el crimen organizado y los delitos tributarios, así como encuentros con el alcalde de Estación Central y el general director de Carabineros. Una de sus prioridades heredadas es el proceso de recálculo metodológico de los avalúos de bienes raíces no agrícolas, postergado por ley hasta el 1 de enero de 2027; para avanzar, convocará en mayo al panel de expertos que trabajó en modificaciones metodológicas entre septiembre de 2025 y febrero de 2026. Además, Trujillo prepara concursos ADP para cinco subdirecciones vacantes, incluyendo Contraloría Interna, Jurídica, Asistencia al Contribuyente, Grandes Contribuyentes y Gestión Estratégica.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¿Ánimo de retorno? Presencia de venezolanos en el mercado laboral suma cinco trimestres de baja</w:t>
      </w:r>
    </w:p>
    <w:p>
      <w:pPr>
        <w:spacing w:before="40" w:after="60"/>
        <w:ind w:left="283"/>
      </w:pPr>
      <w:r>
        <w:rPr>
          <w:rFonts w:ascii="Arial" w:hAnsi="Arial"/>
          <w:color w:val="404040"/>
          <w:sz w:val="21"/>
        </w:rPr>
        <w:t>La fuerza laboral venezolana en Chile acumuló cinco trimestres consecutivos de caídas anuales, con una reducción de 5,4% en el trimestre enero-marzo de 2026, la mayor contracción jamás registrada, según un estudio del OCEC UDP basado en datos del INE. El fenómeno estaría impulsado principalmente por la intervención militar de EE.UU. en Venezuela a inicios de enero y la captura de Maduro, que abrió expectativas de retorno al país; los que se van son mayoritariamente jóvenes menores de 35 años, con educación superior completa, solteros y hombres con menos de cinco años en Chile, quienes explican el 80,1% de la caída. El impacto económico incluye la pérdida de 32.054 puestos de trabajo ocupados por venezolanos en el período, y el sector de conductores de motocicletas (delivery) presenta el mayor riesgo, dado que el 61,1% de quienes trabajan en esa actividad son de esa nacionalidad.</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Exportaciones: India escala puestos y se convierte en el cuarto socio comercial de Chile</w:t>
      </w:r>
    </w:p>
    <w:p>
      <w:pPr>
        <w:spacing w:before="40" w:after="60"/>
        <w:ind w:left="283"/>
      </w:pPr>
      <w:r>
        <w:rPr>
          <w:rFonts w:ascii="Arial" w:hAnsi="Arial"/>
          <w:color w:val="404040"/>
          <w:sz w:val="21"/>
        </w:rPr>
        <w:t>India se convirtió en el cuarto destino de exportaciones chilenas en los primeros cuatro meses de 2026, con envíos de US$ 2.259 millones, un alza de 197,7% respecto a los US$ 759 millones del mismo período de 2025, impulsada principalmente por cobre y derivados, cuya demanda india se ha más que duplicado desde 2021 hasta US$ 1.729 millones en 2024. El gigante asiático concentra el 5% de las exportaciones chilenas, superado solo por China (36%), EE.UU. (16,6%) y Japón (8,5%), y también muestra crecimiento en nueces, kiwis, manzanas, arándanos y cerezas, aunque sin un TLC vigente, lo que implica aranceles que limitan el potencial de algunos productos. Los gremios exportadores esperan avanzar en la negociación de un Acuerdo de Asociación Económica Integral (CEPA) definido como prioridad por el gobierno de Kast.</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Dua Lipa demanda a Samsung con una millonaria cifra por presuntamente utilizar su imagen para vender televisores</w:t>
      </w:r>
    </w:p>
    <w:p>
      <w:pPr>
        <w:spacing w:before="40" w:after="60"/>
        <w:ind w:left="283"/>
      </w:pPr>
      <w:r>
        <w:rPr>
          <w:rFonts w:ascii="Arial" w:hAnsi="Arial"/>
          <w:color w:val="404040"/>
          <w:sz w:val="21"/>
        </w:rPr>
        <w:t>La cantante británica Dua Lipa presentó una demanda federal en California contra Samsung Electronics reclamando al menos US$ 15 millones por el uso no autorizado de una fotografía suya, tomada en el backstage del festival Austin City Limits 2024, en las cajas de cartón de televisores para venta minorista. La artista es titular de todos los derechos sobre la imagen y habría exigido a Samsung que cesara su uso desde junio de 2025, pero la empresa se negó repetidamente, según sus abogados. La demanda alega infracción de derechos de autor, de marca registrada y violación del derecho de imagen, señalando que el uso generó una dilución de la identidad de marca y el prestigio comercial de la cantante al insinuar falsamente su respaldo al producto.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Olivia Lazard, estratega de geopolítica y transición energética: “Se anticipa una carrera de corto plazo por hidrocarburos seguida de una reorganización energética”</w:t>
      </w:r>
    </w:p>
    <w:p>
      <w:pPr>
        <w:spacing w:before="40" w:after="60"/>
        <w:ind w:left="283"/>
      </w:pPr>
      <w:r>
        <w:rPr>
          <w:rFonts w:ascii="Arial" w:hAnsi="Arial"/>
          <w:color w:val="404040"/>
          <w:sz w:val="21"/>
        </w:rPr>
        <w:t>“Seguridad energética es el nombre del juego”, asegura la experta del Instituto Berggruen, quien prevé que las renovables ganarán “velocidad y racionalidad económica rápidamente”. La guerra en Medio Oriente se vincula a un escenario más amplio de rivalidad entre Estados Unidos y China, contexto donde la energía juega un rol fundamental, de acuerdo con la estratega de geopolítica y transición energética del Instituto Berggruen, Olivia Lazard. En una entrevista por escrito con DF, tras exponer en el programa Transformación 2026 de Boma Chile, la experta que ha trabajado para la ONU y la Unión Europea plantea que la seguridad energética y la cobertura serán clave para navegar en un escenario marcado por la geopolítica y el cambio climático.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Las tecnologías de defensa se toman el capital de riesgo para startups en Silicon Valley</w:t>
      </w:r>
    </w:p>
    <w:p>
      <w:pPr>
        <w:spacing w:before="40" w:after="60"/>
        <w:ind w:left="283"/>
      </w:pPr>
      <w:r>
        <w:rPr>
          <w:rFonts w:ascii="Arial" w:hAnsi="Arial"/>
          <w:color w:val="404040"/>
          <w:sz w:val="21"/>
        </w:rPr>
        <w:t>Artículo bajo muro de pago sin contenido disponible. El título indica que trata sobre el auge de las inversiones de capital de riesgo en startups de tecnología de defensa en Silicon Valley. El subtítulo menciona declaraciones del canciller Francisco Pérez Mackenna sobre el trabajo con empresas tecnológicas para crear condiciones que permitan el desarrollo de un ecosistema de inteligencia artificial en Chile.</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Mesa de Reactivación Laboral, llegó la hora de la acción</w:t>
      </w:r>
    </w:p>
    <w:p>
      <w:pPr>
        <w:spacing w:before="40" w:after="60"/>
        <w:ind w:left="283"/>
      </w:pPr>
      <w:r>
        <w:rPr>
          <w:rFonts w:ascii="Arial" w:hAnsi="Arial"/>
          <w:color w:val="404040"/>
          <w:sz w:val="21"/>
        </w:rPr>
        <w:t>La editorial señala que Chile acumula más de 39 meses con una tasa de desempleo superior al 8%, actualmente en 8,9%, con 925.000 desocupados y 2,5 millones de trabajadores informales, realidad que el gobierno reconoció como 'emergencia' al crear la nueva Mesa de Reactivación Laboral. El foco anunciado en empleo femenino, capacitación, reconversión y formalización es valorado como correcto, al igual que la convocatoria de especialistas técnicos liderados por David Bravo, pero la editorial advierte que Chile tiene una larga historia de mesas y comisiones que no se tradujeron en reformas estructurales efectivas, desde el Consejo Asesor de 2007 hasta instancias postcovid. El desafío central no es el diagnóstico sino la implementación: el plazo de un mes para la mesa expone el riesgo de que la premura produzca otro informe bien intencionado que luego fracase ante restricciones fiscales, desacuerdos políticos o pérdida de prioridad en la agenda pública.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11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