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21 De Abril De 2026</w:t>
      </w:r>
    </w:p>
    <w:p>
      <w:pPr>
        <w:jc w:val="center"/>
      </w:pPr>
      <w:r>
        <w:rPr>
          <w:rFonts w:ascii="Arial" w:hAnsi="Arial"/>
          <w:color w:val="999999"/>
          <w:sz w:val="20"/>
        </w:rPr>
        <w:t>6 secciones  ·  20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sube a $ 890 antes del mediodía tras sólidas ventas minoristas de EEUU y más cerca de plazo límite para un acuerdo con Irán</w:t>
      </w:r>
    </w:p>
    <w:p>
      <w:pPr>
        <w:spacing w:before="40" w:after="60"/>
        <w:ind w:left="283"/>
      </w:pPr>
      <w:r>
        <w:rPr>
          <w:rFonts w:ascii="Arial" w:hAnsi="Arial"/>
          <w:color w:val="404040"/>
          <w:sz w:val="21"/>
        </w:rPr>
        <w:t>Los nuevos datos de actividad impulsaron el costo de la deuda en dólares, mientras el petróleo Brent subía a retomar niveles de US$ 100 por barril por una mayor incertidumbre en torno al conflicto, más allá del "gran acuerdo" con Irán que anticipó Trump.</w:t>
      </w:r>
    </w:p>
    <w:p>
      <w:pPr>
        <w:spacing w:before="40" w:after="60"/>
        <w:ind w:left="283"/>
      </w:pPr>
      <w:r>
        <w:rPr>
          <w:rFonts w:ascii="Arial" w:hAnsi="Arial"/>
          <w:color w:val="404040"/>
          <w:sz w:val="21"/>
        </w:rPr>
        <w:t>El precio del dólar seguía recuperándose este martes, tras datos de consumo que sorprendieron al alza en Estados Unidos, y ya notándose una mayor ansiedad antes del fatal plazo límite fijado porDonald Trumppara llegar a un acuerdo con Irán, cuya participación en nuevas negociaciones todavía no se ha confirmado.</w:t>
      </w:r>
    </w:p>
    <w:p>
      <w:pPr>
        <w:spacing w:before="40" w:after="60"/>
        <w:ind w:left="283"/>
      </w:pPr>
      <w:r>
        <w:rPr>
          <w:rFonts w:ascii="Arial" w:hAnsi="Arial"/>
          <w:color w:val="404040"/>
          <w:sz w:val="21"/>
        </w:rPr>
        <w:t>La divisa estadounidense subía $ 6,3 a $ 889,7 antes del mediodía en Chile, precios que representan máximos de la sesión, y que vienen después decomenzar la semana al alzaen las pantallas de Bloomberg.</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Aníbal Mosa no se rinde para aumentar su control en ByN: lanza una nueva OPA y busca el control total del club</w:t>
      </w:r>
    </w:p>
    <w:p>
      <w:pPr>
        <w:spacing w:before="40" w:after="60"/>
        <w:ind w:left="283"/>
      </w:pPr>
      <w:r>
        <w:rPr>
          <w:rFonts w:ascii="Arial" w:hAnsi="Arial"/>
          <w:color w:val="404040"/>
          <w:sz w:val="21"/>
        </w:rPr>
        <w:t>A una semana de la junta de accionistas, el actual presidente de la sociedad busca el control total de la concesionaria que encabeza el Club Deportivo Colo-Colo.</w:t>
      </w:r>
    </w:p>
    <w:p>
      <w:pPr>
        <w:spacing w:before="40" w:after="60"/>
        <w:ind w:left="283"/>
      </w:pPr>
      <w:r>
        <w:rPr>
          <w:rFonts w:ascii="Arial" w:hAnsi="Arial"/>
          <w:color w:val="404040"/>
          <w:sz w:val="21"/>
        </w:rPr>
        <w:t>A tres meses de anunciar la primeraOferta Pública de Adquisición (OPA),que la declaró exitosa pese a no consolidar su poder,Aníbal Mosainició este martes un nuevo proceso para ser elaccionista mayoritario de Blanco y Negro (ByN).</w:t>
      </w:r>
    </w:p>
    <w:p>
      <w:pPr>
        <w:spacing w:before="40" w:after="60"/>
        <w:ind w:left="283"/>
      </w:pPr>
      <w:r>
        <w:rPr>
          <w:rFonts w:ascii="Arial" w:hAnsi="Arial"/>
          <w:color w:val="404040"/>
          <w:sz w:val="21"/>
        </w:rPr>
        <w:t>Esta mañana, Inversiones Panitao Limitada - sociedad ligada al empresario- informó en un boletín a la Bolsa de Santiago queMosa ofreció comprar hasta 61.186.470 acciones de la serie B que emite Blanco y Negro, que representa un 61,1% del capital.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Bolsa chilena abre al alza en línea con Wall Street luego se que Trump se muestra optimista sobre un acuerdo con Irán</w:t>
      </w:r>
    </w:p>
    <w:p>
      <w:pPr>
        <w:spacing w:before="40" w:after="60"/>
        <w:ind w:left="283"/>
      </w:pPr>
      <w:r>
        <w:rPr>
          <w:rFonts w:ascii="Arial" w:hAnsi="Arial"/>
          <w:color w:val="404040"/>
          <w:sz w:val="21"/>
        </w:rPr>
        <w:t>Se espera que más tarde este martes, o bien a primera hora de mañana miércoles, una delegación encabezada por el vicepresidente JD Vance entable nuevas conversaciones con la parte iraní, cuya participación todavía no se ha confirmado.</w:t>
      </w:r>
    </w:p>
    <w:p>
      <w:pPr>
        <w:spacing w:before="40" w:after="60"/>
        <w:ind w:left="283"/>
      </w:pPr>
      <w:r>
        <w:rPr>
          <w:rFonts w:ascii="Arial" w:hAnsi="Arial"/>
          <w:color w:val="404040"/>
          <w:sz w:val="21"/>
        </w:rPr>
        <w:t>Las plazas bursátiles de Santiago y Nueva York subían este martes, en un contexto de cauto optimismo por la intención manifiesta deDonald Trumpde llegar a un acuerdo con Irán para resolver un conflicto bélico que pasa por su octava semana.</w:t>
      </w:r>
    </w:p>
    <w:p>
      <w:pPr>
        <w:spacing w:before="40" w:after="60"/>
        <w:ind w:left="283"/>
      </w:pPr>
      <w:r>
        <w:rPr>
          <w:rFonts w:ascii="Arial" w:hAnsi="Arial"/>
          <w:color w:val="404040"/>
          <w:sz w:val="21"/>
        </w:rPr>
        <w:t>En la apertura de la plaza chilena,el S&amp;P IPSA subía 0,2% a 11.363,40 puntos. En cuanto a Wall Street,el Dow Jones crecía 0,5%, el S&amp;P 500 ganaba 0,1% y el Dow Jones operaba plano. En Europa, eso sí, los índices caían ligeramente, mientras que en la jornada asiática terminaron con ganancias.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Informe de BofA: gestores elevan liquidez y apuestan por commodities ante volatilidad del petróleo</w:t>
      </w:r>
    </w:p>
    <w:p>
      <w:pPr>
        <w:spacing w:before="40" w:after="60"/>
        <w:ind w:left="283"/>
      </w:pPr>
      <w:r>
        <w:rPr>
          <w:rFonts w:ascii="Arial" w:hAnsi="Arial"/>
          <w:color w:val="404040"/>
          <w:sz w:val="21"/>
        </w:rPr>
        <w:t>Los niveles de caja subieron a 7,4%, por encima del promedio histórico de 5,4%, “reflejando menor disposición a tomar riesgo”.</w:t>
      </w:r>
    </w:p>
    <w:p>
      <w:pPr>
        <w:spacing w:before="40" w:after="60"/>
        <w:ind w:left="283"/>
      </w:pPr>
      <w:r>
        <w:rPr>
          <w:rFonts w:ascii="Arial" w:hAnsi="Arial"/>
          <w:color w:val="404040"/>
          <w:sz w:val="21"/>
        </w:rPr>
        <w:t>Un giro hacia posiciones más defensivas y una mayor exposición a materias primas está marcando la estrategia de los inversionistas en medio de un entorno global incierto y crecientes riesgos asociados a tensiones geopolíticas, reveló la última encuesta de gestores globales de fondos de Bank of America (BofA), a la que accedió DF.</w:t>
      </w:r>
    </w:p>
    <w:p>
      <w:pPr>
        <w:spacing w:before="40" w:after="60"/>
        <w:ind w:left="283"/>
      </w:pPr>
      <w:r>
        <w:rPr>
          <w:rFonts w:ascii="Arial" w:hAnsi="Arial"/>
          <w:color w:val="404040"/>
          <w:sz w:val="21"/>
        </w:rPr>
        <w:t>La firma sostuvo que el conflicto en Medio Oriente puso fin a un optimismo desmedido de los últimos meses en el mercado financiero y, con ello, las expectativas de crecimiento global han caído con fuerza durante abril.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Benjamín Laso, director corporativo de estrategia de Primus Capital: “Hubo un abandono reiterado en los procedimientos de auditoría a Primus Capital”</w:t>
      </w:r>
    </w:p>
    <w:p>
      <w:pPr>
        <w:spacing w:before="40" w:after="60"/>
        <w:ind w:left="283"/>
      </w:pPr>
      <w:r>
        <w:rPr>
          <w:rFonts w:ascii="Arial" w:hAnsi="Arial"/>
          <w:color w:val="404040"/>
          <w:sz w:val="21"/>
        </w:rPr>
        <w:t>Tras conocer la sanción de la CMF a Deloitte por su papel en la revisión de los estados financieros del factoring, el ejecutivo criticó el trabajo de la “Big Four”.</w:t>
      </w:r>
    </w:p>
    <w:p>
      <w:pPr>
        <w:spacing w:before="40" w:after="60"/>
        <w:ind w:left="283"/>
      </w:pPr>
      <w:r>
        <w:rPr>
          <w:rFonts w:ascii="Arial" w:hAnsi="Arial"/>
          <w:color w:val="404040"/>
          <w:sz w:val="21"/>
        </w:rPr>
        <w:t>Benjamín Laso llevaba casi siete años trabajando en el family office de Raimundo Valenzuela, denominado “Estrella del Sur”, cuando en marzo de 2023, se detectaron operaciones falsas en el factoring Primus Capital -controlado en ese entonces por el empresario- que involucraban a su gerente general, Francisco Coeymans y al director comercial, Ignacio Amenábar.</w:t>
      </w:r>
    </w:p>
    <w:p>
      <w:pPr>
        <w:spacing w:before="40" w:after="60"/>
        <w:ind w:left="283"/>
      </w:pPr>
      <w:r>
        <w:rPr>
          <w:rFonts w:ascii="Arial" w:hAnsi="Arial"/>
          <w:color w:val="404040"/>
          <w:sz w:val="21"/>
        </w:rPr>
        <w:t>Laso recuerda que en la misma semana en que estalló el caso,se puso a disposición de Valenzuela y de su socio Eduardo Guerrero.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Garrigues anuncia fusión con Barros, Silva, Varela &amp; Vigil (BSVV) y se transforma en uno de los estudios jurídicos más grandes del país</w:t>
      </w:r>
    </w:p>
    <w:p>
      <w:pPr>
        <w:spacing w:before="40" w:after="60"/>
        <w:ind w:left="283"/>
      </w:pPr>
      <w:r>
        <w:rPr>
          <w:rFonts w:ascii="Arial" w:hAnsi="Arial"/>
          <w:color w:val="404040"/>
          <w:sz w:val="21"/>
        </w:rPr>
        <w:t>Los 11 socios de BSVV pasarán a integrarse en el partnership de Garrigues, la firma internacional de servicios legales y fiscales con oficinas en Chile, Colombia, México y Perú.</w:t>
      </w:r>
    </w:p>
    <w:p>
      <w:pPr>
        <w:spacing w:before="40" w:after="60"/>
        <w:ind w:left="283"/>
      </w:pPr>
      <w:r>
        <w:rPr>
          <w:rFonts w:ascii="Arial" w:hAnsi="Arial"/>
          <w:color w:val="404040"/>
          <w:sz w:val="21"/>
        </w:rPr>
        <w:t>Fernando Barros Vial, socio de BSVV, y Luis Felipe Merino, quien se mantendrá como socio responsable de la oficina de Garrigues en Chile.</w:t>
      </w:r>
    </w:p>
    <w:p>
      <w:pPr>
        <w:spacing w:before="40" w:after="60"/>
        <w:ind w:left="283"/>
      </w:pPr>
      <w:r>
        <w:rPr>
          <w:rFonts w:ascii="Arial" w:hAnsi="Arial"/>
          <w:color w:val="404040"/>
          <w:sz w:val="21"/>
        </w:rPr>
        <w:t>La firma internacional de servicios legales y fiscalesGarrigues y Barros, Silva, Varela &amp; Vigil (BSVV), estudio jurídico multiservicio con más de una década de trayectoria en el mercado legal chileno,llegaron a un acuerdo para la integración de sus prácticas en Chile, que operarán bajo la marca Garrigues, y se convertirá en uno de los estudios jurídicos más grandes del país.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Gobierno dará inicio a plan para destrabar inversiones salmoneras con el proyecto de reconstrucción nacional</w:t>
      </w:r>
    </w:p>
    <w:p>
      <w:pPr>
        <w:spacing w:before="40" w:after="60"/>
        <w:ind w:left="283"/>
      </w:pPr>
      <w:r>
        <w:rPr>
          <w:rFonts w:ascii="Arial" w:hAnsi="Arial"/>
          <w:color w:val="404040"/>
          <w:sz w:val="21"/>
        </w:rPr>
        <w:t>La esperada iniciativa incluirá medidas para permitir pequeñas relocalizaciones de concesiones, manteniendo los requerimientos ambientales y límites de producción.</w:t>
      </w:r>
    </w:p>
    <w:p>
      <w:pPr>
        <w:spacing w:before="40" w:after="60"/>
        <w:ind w:left="283"/>
      </w:pPr>
      <w:r>
        <w:rPr>
          <w:rFonts w:ascii="Arial" w:hAnsi="Arial"/>
          <w:color w:val="404040"/>
          <w:sz w:val="21"/>
        </w:rPr>
        <w:t>El inminente ingreso del plan de reconstrucción de la administración Kast ha generado expectativas en la principal industria del sur del país,la salmonicultura.</w:t>
      </w:r>
    </w:p>
    <w:p>
      <w:pPr>
        <w:spacing w:before="40" w:after="60"/>
        <w:ind w:left="283"/>
      </w:pPr>
      <w:r>
        <w:rPr>
          <w:rFonts w:ascii="Arial" w:hAnsi="Arial"/>
          <w:color w:val="404040"/>
          <w:sz w:val="21"/>
        </w:rPr>
        <w:t>Fue el propio ministro de Hacienda, Jorge Quiroz, quien la semana pasada adelantó queel megaproyecto del Ejecutivo incluiría medidas para la industria acuícola, con el fin de acelerar las “micro relocalizaciones”; que se puedan hacer con más fluidez los estudios de bancos naturales y los informes ambientales (INFA); y sustituir ciertas medidas de caducidad de concesiones por el pago de una patente. “Va a beneficiar muy fuertemente a Los Lagos, Aysén y Magallanes”, dijo Quiroz.</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Ad portas del anuncio de Kast: los otros mecanismos similares al DL 600 que tiene Chile</w:t>
      </w:r>
    </w:p>
    <w:p>
      <w:pPr>
        <w:spacing w:before="40" w:after="60"/>
        <w:ind w:left="283"/>
      </w:pPr>
      <w:r>
        <w:rPr>
          <w:rFonts w:ascii="Arial" w:hAnsi="Arial"/>
          <w:color w:val="404040"/>
          <w:sz w:val="21"/>
        </w:rPr>
        <w:t>Un informe agrupa los distintos tipos de instrumentos de invariabilidad entre el Fisco e inversionistas chilenos. Este será uno de los principales anuncios del plan misceláneo del gobierno.</w:t>
      </w:r>
    </w:p>
    <w:p>
      <w:pPr>
        <w:spacing w:before="40" w:after="60"/>
        <w:ind w:left="283"/>
      </w:pPr>
      <w:r>
        <w:rPr>
          <w:rFonts w:ascii="Arial" w:hAnsi="Arial"/>
          <w:color w:val="404040"/>
          <w:sz w:val="21"/>
        </w:rPr>
        <w:t>El ingreso al Congreso del proyecto misceláneo de reactivación y reconstrucción nacional tiene expectante al mundo político y técnico, ya que su presentación se ha dilatado producto de negociaciones de último minuto entre el gobierno y distintas bancadas parlamentarias.</w:t>
      </w:r>
    </w:p>
    <w:p>
      <w:pPr>
        <w:spacing w:before="40" w:after="60"/>
        <w:ind w:left="283"/>
      </w:pPr>
      <w:r>
        <w:rPr>
          <w:rFonts w:ascii="Arial" w:hAnsi="Arial"/>
          <w:color w:val="404040"/>
          <w:sz w:val="21"/>
        </w:rPr>
        <w:t>Y la ansiedad se deriva de las propuestas que incorpora el proyecto para aumentar el crecimiento y la inversión, con un fuerte componente tributario: reducción del impuesto corporativo desde 27% a 23%; reintegración del sistema de impuesto a la renta; eliminación del gravamen a las ganancias de capital en operaciones bursátiles; y la suspensión por un año del IVA a la vivienda, por citar solo algunas.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Velasco destaca necesidad de un debate sobre crecimiento que ponga foco en productividad e innovación</w:t>
      </w:r>
    </w:p>
    <w:p>
      <w:pPr>
        <w:spacing w:before="40" w:after="60"/>
        <w:ind w:left="283"/>
      </w:pPr>
      <w:r>
        <w:rPr>
          <w:rFonts w:ascii="Arial" w:hAnsi="Arial"/>
          <w:color w:val="404040"/>
          <w:sz w:val="21"/>
        </w:rPr>
        <w:t>El exministro de Hacienda y decano de la School of Public Policy de la London School of Economics comparó la situación con el caso de México y apuntó a la baja de impuestos.</w:t>
      </w:r>
    </w:p>
    <w:p>
      <w:pPr>
        <w:spacing w:before="40" w:after="60"/>
        <w:ind w:left="283"/>
      </w:pPr>
      <w:r>
        <w:rPr>
          <w:rFonts w:ascii="Arial" w:hAnsi="Arial"/>
          <w:color w:val="404040"/>
          <w:sz w:val="21"/>
        </w:rPr>
        <w:t>Andrés Velasco, exministro de Hacienda, durante la presentación de The London Consensus en la FEN.</w:t>
      </w:r>
    </w:p>
    <w:p>
      <w:pPr>
        <w:spacing w:before="40" w:after="60"/>
        <w:ind w:left="283"/>
      </w:pPr>
      <w:r>
        <w:rPr>
          <w:rFonts w:ascii="Arial" w:hAnsi="Arial"/>
          <w:color w:val="404040"/>
          <w:sz w:val="21"/>
        </w:rPr>
        <w:t>Una invitación a un renovado debate sobre el crecimiento económico y los factores que lo determinan hizo el exministro de Hacienda, Andrés Velasco, al presentar el libro The London Consensus: Economic Principles for the 21st Century, del cual es coautor.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Exasesores laborales de Boric critican crédito tributario y Jara respalda medida, pero con foco en PYME</w:t>
      </w:r>
    </w:p>
    <w:p>
      <w:pPr>
        <w:spacing w:before="40" w:after="60"/>
        <w:ind w:left="283"/>
      </w:pPr>
      <w:r>
        <w:rPr>
          <w:rFonts w:ascii="Arial" w:hAnsi="Arial"/>
          <w:color w:val="404040"/>
          <w:sz w:val="21"/>
        </w:rPr>
        <w:t>La excandidata presidencial dijo que “podría ser un buen impulso”, siempre y cuando se enfoque en las empresas de menor tamaño.</w:t>
      </w:r>
    </w:p>
    <w:p>
      <w:pPr>
        <w:spacing w:before="40" w:after="60"/>
        <w:ind w:left="283"/>
      </w:pPr>
      <w:r>
        <w:rPr>
          <w:rFonts w:ascii="Arial" w:hAnsi="Arial"/>
          <w:color w:val="404040"/>
          <w:sz w:val="21"/>
        </w:rPr>
        <w:t>Siguen las reacciones a la decisión del gobierno de incluir en el proyecto misceláneo de reconstrucción un crédito tributario enfocado en reducir el costo efectivo de contratar trabajadores.</w:t>
      </w:r>
    </w:p>
    <w:p>
      <w:pPr>
        <w:spacing w:before="40" w:after="60"/>
        <w:ind w:left="283"/>
      </w:pPr>
      <w:r>
        <w:rPr>
          <w:rFonts w:ascii="Arial" w:hAnsi="Arial"/>
          <w:color w:val="404040"/>
          <w:sz w:val="21"/>
        </w:rPr>
        <w:t>El esquema contempla cubrir hasta un 15% de la remuneración bruta y se aplicaría como descuento contra el Pago Provisional Mensual (PPM), sujeto al cumplimiento de las obligaciones, con el fin de beneficiar a empresas que mantengan contratadas formalmente a personas con sueldos inferiores a 1,5 ingresos mínimos mensuales (IMM).</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Kevin Warsh, nominado de Trump a la Fed, plantea un nuevo marco en el central para abordar la inflación</w:t>
      </w:r>
    </w:p>
    <w:p>
      <w:pPr>
        <w:spacing w:before="40" w:after="60"/>
        <w:ind w:left="283"/>
      </w:pPr>
      <w:r>
        <w:rPr>
          <w:rFonts w:ascii="Arial" w:hAnsi="Arial"/>
          <w:color w:val="404040"/>
          <w:sz w:val="21"/>
        </w:rPr>
        <w:t>En una audiencia ante el Comité Bancario del Senado, el ejecutivo banquero dijo que vendrá un cambio de régimen en la conducción de la política del ente emisor y descartó referirse a si Trump perdió las elecciones de 2020.</w:t>
      </w:r>
    </w:p>
    <w:p>
      <w:pPr>
        <w:spacing w:before="40" w:after="60"/>
        <w:ind w:left="283"/>
      </w:pPr>
      <w:r>
        <w:rPr>
          <w:rFonts w:ascii="Arial" w:hAnsi="Arial"/>
          <w:color w:val="404040"/>
          <w:sz w:val="21"/>
        </w:rPr>
        <w:t>Kevin Warsh,el nominado del Presidente Donald Trump para dirigir el banco central de Estados Unidos, afirmó quela Reserva Federal (Fed)necesita un nuevo marco para hacer frente a la inflación persistente, sin ofrecer más detalles.</w:t>
      </w:r>
    </w:p>
    <w:p>
      <w:pPr>
        <w:spacing w:before="40" w:after="60"/>
        <w:ind w:left="283"/>
      </w:pPr>
      <w:r>
        <w:rPr>
          <w:rFonts w:ascii="Arial" w:hAnsi="Arial"/>
          <w:color w:val="404040"/>
          <w:sz w:val="21"/>
        </w:rPr>
        <w:t>Al inicio de su testimonio,Warshresponsabilizó a la Fed por permitir que la inflación se disparara tras la pandemia de Covid-19 yseñaló que los altos precios siguen siendo un problema para los estadounidenses.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Trump reitera que espera un "gran acuerdo" con Irán en medio de la incertidumbre sobre las conversaciones de paz</w:t>
      </w:r>
    </w:p>
    <w:p>
      <w:pPr>
        <w:spacing w:before="40" w:after="60"/>
        <w:ind w:left="283"/>
      </w:pPr>
      <w:r>
        <w:rPr>
          <w:rFonts w:ascii="Arial" w:hAnsi="Arial"/>
          <w:color w:val="404040"/>
          <w:sz w:val="21"/>
        </w:rPr>
        <w:t>Sin embargo, dijo que no espera extender el alto el fuego que expira este miércoles.</w:t>
      </w:r>
    </w:p>
    <w:p>
      <w:pPr>
        <w:spacing w:before="40" w:after="60"/>
        <w:ind w:left="283"/>
      </w:pPr>
      <w:r>
        <w:rPr>
          <w:rFonts w:ascii="Arial" w:hAnsi="Arial"/>
          <w:color w:val="404040"/>
          <w:sz w:val="21"/>
        </w:rPr>
        <w:t>El Presidente de Estados Unidos, Donald Trump, se mostró este martes nuevamente optimista respecto a las conversaciones de paz con Irán, que se espera que tengan lugar esta semana.</w:t>
      </w:r>
    </w:p>
    <w:p>
      <w:pPr>
        <w:spacing w:before="40" w:after="60"/>
        <w:ind w:left="283"/>
      </w:pPr>
      <w:r>
        <w:rPr>
          <w:rFonts w:ascii="Arial" w:hAnsi="Arial"/>
          <w:color w:val="404040"/>
          <w:sz w:val="21"/>
        </w:rPr>
        <w:t>“Vamos a conseguir un gran trato... no tienen otra opción”, declaró en una entrevista en el programa “Squawk Box” de CNBC, cuando se le preguntó qué esperaba que resultara de una segunda ronda de negociaciones con Teherán.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próximo CEO de Apple, John Ternus, enfrenta un momento decisivo en la IA</w:t>
      </w:r>
    </w:p>
    <w:p>
      <w:pPr>
        <w:spacing w:before="40" w:after="60"/>
        <w:ind w:left="283"/>
      </w:pPr>
      <w:r>
        <w:rPr>
          <w:rFonts w:ascii="Arial" w:hAnsi="Arial"/>
          <w:color w:val="404040"/>
          <w:sz w:val="21"/>
        </w:rPr>
        <w:t>El reemplazante de Tim Cook deberá liderar al fabricante del iPhone en medio de un cambio de industria.</w:t>
      </w:r>
    </w:p>
    <w:p>
      <w:pPr>
        <w:spacing w:before="40" w:after="60"/>
        <w:ind w:left="283"/>
      </w:pPr>
      <w:r>
        <w:rPr>
          <w:rFonts w:ascii="Arial" w:hAnsi="Arial"/>
          <w:color w:val="404040"/>
          <w:sz w:val="21"/>
        </w:rPr>
        <w:t>Ternus asumirá como CEO de Apple en septiembre. (Foto: Bloomberg)</w:t>
      </w:r>
    </w:p>
    <w:p>
      <w:pPr>
        <w:spacing w:before="40" w:after="60"/>
        <w:ind w:left="283"/>
      </w:pPr>
      <w:r>
        <w:rPr>
          <w:rFonts w:ascii="Arial" w:hAnsi="Arial"/>
          <w:color w:val="404040"/>
          <w:sz w:val="21"/>
        </w:rPr>
        <w:t>John Ternusasumirá como CEO de Apple en septiembre, en un momento de tensión poco habitual para el gigante de Silicon Valley, mientras enfrenta dudassobre su posición en inteligencia artificial (IA) y una cadena de suministro global más frágil.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Nobel de Economía anticipa una recesión global por la destrucción de demanda de petróleo forzada por la guerra</w:t>
      </w:r>
    </w:p>
    <w:p>
      <w:pPr>
        <w:spacing w:before="40" w:after="60"/>
        <w:ind w:left="283"/>
      </w:pPr>
      <w:r>
        <w:rPr>
          <w:rFonts w:ascii="Arial" w:hAnsi="Arial"/>
          <w:color w:val="404040"/>
          <w:sz w:val="21"/>
        </w:rPr>
        <w:t>Paul Krugman plantea en un artículo que se está subestimando el impacto económico debido a una lectura errada, centrada en estimaciones de precios. De todas maneras, modela diversos escenarios al respecto, con precios que van desde los US$ 99 a los US$ 372 el barril.</w:t>
      </w:r>
    </w:p>
    <w:p>
      <w:pPr>
        <w:spacing w:before="40" w:after="60"/>
        <w:ind w:left="283"/>
      </w:pPr>
      <w:r>
        <w:rPr>
          <w:rFonts w:ascii="Arial" w:hAnsi="Arial"/>
          <w:color w:val="404040"/>
          <w:sz w:val="21"/>
        </w:rPr>
        <w:t>El economista enfatizó que los rangos de precios posibles son extraordinariamente amplios.</w:t>
      </w:r>
    </w:p>
    <w:p>
      <w:pPr>
        <w:spacing w:before="40" w:after="60"/>
        <w:ind w:left="283"/>
      </w:pPr>
      <w:r>
        <w:rPr>
          <w:rFonts w:ascii="Arial" w:hAnsi="Arial"/>
          <w:color w:val="404040"/>
          <w:sz w:val="21"/>
        </w:rPr>
        <w:t>La prolongada interrupción del flujo de petróleo a través del estrecho de Ormuz podría desencadenar un escenario mucho más severo para la economía global de lo que actualmente proyectan los organismos internacionales. Así lo advirtió el premio Nobel de Economía Paul Krugman en el artículo “El daño de Ormuz” publicado este lunes.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VC Latam Summit 2026 abordará el contexto geopolítico y la inversión en tecnologías para defensa</w:t>
      </w:r>
    </w:p>
    <w:p>
      <w:pPr>
        <w:spacing w:before="40" w:after="60"/>
        <w:ind w:left="283"/>
      </w:pPr>
      <w:r>
        <w:rPr>
          <w:rFonts w:ascii="Arial" w:hAnsi="Arial"/>
          <w:color w:val="404040"/>
          <w:sz w:val="21"/>
        </w:rPr>
        <w:t>La cumbre, que parte este miércoles, es uno de los principales eventos de capital de riesgo para la región y espera reunir a 100 actores de la industria.</w:t>
      </w:r>
    </w:p>
    <w:p>
      <w:pPr>
        <w:spacing w:before="40" w:after="60"/>
        <w:ind w:left="283"/>
      </w:pPr>
      <w:r>
        <w:rPr>
          <w:rFonts w:ascii="Arial" w:hAnsi="Arial"/>
          <w:color w:val="404040"/>
          <w:sz w:val="21"/>
        </w:rPr>
        <w:t>Participarán 40 fondos internacionales y siete administradoras chilenas. En la imagen, VC Latam Summit 2025.</w:t>
      </w:r>
    </w:p>
    <w:p>
      <w:pPr>
        <w:spacing w:before="40" w:after="60"/>
        <w:ind w:left="283"/>
      </w:pPr>
      <w:r>
        <w:rPr>
          <w:rFonts w:ascii="Arial" w:hAnsi="Arial"/>
          <w:color w:val="404040"/>
          <w:sz w:val="21"/>
        </w:rPr>
        <w:t>Este miércoles, y por sexto año consecutivo, Miami será la anfitriona del evento de capital de riesgo para startups de la región con el VC Latam Summit, cumbre organizada por 11 asociaciones de capital de riesgo de la región para promover este activo alternativo en Latinoamérica.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Desafíos de la Dirección del Trabajo</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Control de horas punta</w:t>
      </w:r>
    </w:p>
    <w:p>
      <w:pPr>
        <w:spacing w:before="40" w:after="60"/>
        <w:ind w:left="283"/>
      </w:pPr>
      <w:r>
        <w:rPr>
          <w:rFonts w:ascii="Arial" w:hAnsi="Arial"/>
          <w:color w:val="404040"/>
          <w:sz w:val="21"/>
        </w:rPr>
        <w:t>La solicitud de diversos gremios a la ministra de Energía para atenuar el control de horas punta para el pago de potencia eléctrica es una urgencia económica y ambiental. Con una producción industrial que retrocedió 1,6% a enero de 2026, el diseño actual del cobro de potencia penaliza la eficiencia del país.El impacto es crítico para la agroindustria. El período de punta inicia en abril, mes donde el sector aún procesa cosechas estivales. En dicho período se mantiene la recepción de tomates para concentrados, además de manzanas y peras para elaborar pulpas, purés, jugos, deshidratados y congelados. Obligar a estas plantas a costear tarifas onerosas en pleno auge productivo genera una distorsión grave, pues para no detenerse, las empresas se ven obligadas a la autogeneración con diésel.Esto es un contrasentido que socava los planes de descarbonización de Chile, incentivando el uso de combustibles fósiles cuyo precio escala por el conflicto en Irán. Reducir el período a cuatro meses es una medida factible que no arriesga el sistema. Es imperativo armonizar la norma con la realidad productiva para no subvencionar la polución.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Un difícil equilibrio</w:t>
      </w:r>
    </w:p>
    <w:p>
      <w:pPr>
        <w:spacing w:before="40" w:after="60"/>
        <w:ind w:left="283"/>
      </w:pPr>
      <w:r>
        <w:rPr>
          <w:rFonts w:ascii="Arial" w:hAnsi="Arial"/>
          <w:color w:val="404040"/>
          <w:sz w:val="21"/>
        </w:rPr>
        <w:t>Chile ha encadenado dos años de mejoras en productividad tras una década de estancamiento. Aunque es tentador atribuirlo a políticas específicas, aún no está claro si esto es un cambio estructural o transitorio.Sostener las ganancias de productividad requiere innovación, e innovar en Chile enfrenta dos grandes desafíos. El primero es el tamaño del mercado, pues muchas ideas solo son de interés para inversionistas privados si son viables a gran escala. Con 19 millones de habitantes, el mercado del país no es suficiente, y la emigración de talento emprendedor se vuelve una consecuencia natural. El segundo es el tipo de innovación que necesitamos. Nuestras ventajas están en sectores de tecnología dura como minería, litio, y energía, donde experimentar es costoso y lento. El capital de riesgo se ha mantenido alejado de estos sectores, incluso en EEUU. Cómo atraer capital privado a estos sectores es una pregunta abierta.Estos desafíos hacen que una política de innovación para Chile no pueda importarse. Debe ser específica y capaz de retener y aprovechar talento en sectores donde el país tiene ventajas reales, sin ignorar que parte de ese talento emigrará. Diseñar ese equilibrio es difícil, pero necesario, para mantener las mejoras en productividad.</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Mujeres en minería</w:t>
      </w:r>
    </w:p>
    <w:p>
      <w:pPr>
        <w:spacing w:before="40" w:after="60"/>
        <w:ind w:left="283"/>
      </w:pPr>
      <w:r>
        <w:rPr>
          <w:rFonts w:ascii="Arial" w:hAnsi="Arial"/>
          <w:color w:val="404040"/>
          <w:sz w:val="21"/>
        </w:rPr>
        <w:t>La industria minera en Chile ha sido pionera y un ejemplo de la real inclusión laboral de las mujeres. Con un 24% de participación femenina, ha ubicado al país en el primer lugar a nivel mundial, superando a naciones como Canadá, Australia y Sudáfrica.Una industria que hace 30 años prohibía el ingreso de las mujeres a las faenas, ha sido capaz de superar con cinco años de anticipación la meta del 20% de participación femenina impuesta en la Política Nacional Minera 2030. La minería es hoy un real motor del empleo femenino, del crecimiento de carrera y del acceso a altos cargos de gerencia y de toma de decisiones (18%).No podemos negar que hemos avanzado, pero tampoco que aún tenemos grandes desafíos. Las mujeres en la minería demandan capacitaciones técnicas que les permitan acceder a más empleos tecnológicos; necesitan sentirse seguras en sus espacios de trabajo y, sobre todo, requieren de políticas de conciliación y corresponsabilidad, para que las labores de cuidado -que tradicionalmente han recaído sobre ellas- no se conviertan en un obstáculo para su crecimiento personal y profesional.</w:t>
      </w:r>
    </w:p>
    <w:p>
      <w:pPr>
        <w:spacing w:before="40" w:after="60"/>
        <w:ind w:left="283"/>
      </w:pPr>
      <w:r>
        <w:rPr>
          <w:rFonts w:ascii="Arial" w:hAnsi="Arial"/>
          <w:color w:val="404040"/>
          <w:sz w:val="21"/>
        </w:rPr>
        <w:t>Daniela Castro ArayaSubsecretaria de la Mujer y la Equidad de Género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Legalización de las apuestas en línea</w:t>
      </w:r>
    </w:p>
    <w:p>
      <w:pPr>
        <w:spacing w:before="40" w:after="60"/>
        <w:ind w:left="283"/>
      </w:pPr>
      <w:r>
        <w:rPr>
          <w:rFonts w:ascii="Arial" w:hAnsi="Arial"/>
          <w:color w:val="404040"/>
          <w:sz w:val="21"/>
        </w:rPr>
        <w:t>La agenda de Reconstrucción y Desarrollo Económico y Social presentada por el Gobierno instala un criterio claro en torno a que, en un contexto de estrechez fiscal, el foco debe estar en fortalecer y ampliar la base de ingresos sin frenar la actividad económica. Ese principio obliga a mirar con mayor atención aquellos sectores que hoy no pueden operar dentro del sistema tributario.Uno de ellos es el de las plataformas de apuestas en línea. Se trata de una actividad ya consolidada, con alta penetración digital y un volumen económico relevante, que no cuenta con un marco regulatorio que permita su adecuada fiscalización ni su contribución al financiamiento del Estado.El proyecto de ley en tramitación en el Senado es una oportunidad para avanzar en la formalización de este mercado. Más que una discusión sobre creación de nuevos gravámenes, lo que está en juego es la capacidad de integrar una actividad existente al sistema formal, con reglas claras y estándares comparables a los de otras jurisdicciones. En el contexto de la agenda de reconstrucción, integrar este mercado al sistema formal es una decisión necesaria y consistente con los objetivos de crecimiento, eficiencia y sostenibilidad fiscal que el país requiere</w:t>
      </w:r>
    </w:p>
    <w:p>
      <w:pPr>
        <w:spacing w:before="40" w:after="60"/>
        <w:ind w:left="283"/>
      </w:pPr>
      <w:r>
        <w:rPr>
          <w:rFonts w:ascii="Arial" w:hAnsi="Arial"/>
          <w:color w:val="404040"/>
          <w:sz w:val="21"/>
        </w:rPr>
        <w:t>Carlos BaezaAbogado Agrupación de Plataformas de Apuestas en Línea (aPAL)</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21 de abril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