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22 De Abril De 2026</w:t>
      </w:r>
    </w:p>
    <w:p>
      <w:pPr>
        <w:jc w:val="center"/>
      </w:pPr>
      <w:r>
        <w:rPr>
          <w:rFonts w:ascii="Arial" w:hAnsi="Arial"/>
          <w:color w:val="999999"/>
          <w:sz w:val="20"/>
        </w:rPr>
        <w:t>6 secciones  ·  30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Por qué el peso podría beneficiarse del plan de reconstrucción de Kast</w:t>
      </w:r>
    </w:p>
    <w:p>
      <w:pPr>
        <w:spacing w:before="40" w:after="60"/>
        <w:ind w:left="283"/>
      </w:pPr>
      <w:r>
        <w:rPr>
          <w:rFonts w:ascii="Arial" w:hAnsi="Arial"/>
          <w:color w:val="404040"/>
          <w:sz w:val="21"/>
        </w:rPr>
        <w:t>Analistas ven espacio para que el paquete económico aporte soporte adicional a la moneda local si logra avanzar en el Congreso.</w:t>
      </w:r>
    </w:p>
    <w:p>
      <w:pPr>
        <w:spacing w:before="40" w:after="60"/>
        <w:ind w:left="283"/>
      </w:pPr>
      <w:r>
        <w:rPr>
          <w:rFonts w:ascii="Arial" w:hAnsi="Arial"/>
          <w:color w:val="404040"/>
          <w:sz w:val="21"/>
        </w:rPr>
        <w:t>Elplan de reconstrucción y desarrollo económicopresentado por el gobierno abrió un nuevo foco para el mercado cambiario, al instalar la pregunta sobre si las más de 40 medidas que lo componen -entre ellas, la baja de impuestos, la eliminación transitoria del IVA a la nueva vivienda y los incentivos a las PYME- pueden transformarse en un apoyo adicional para el peso chileno.</w:t>
      </w:r>
    </w:p>
    <w:p>
      <w:pPr>
        <w:spacing w:before="40" w:after="60"/>
        <w:ind w:left="283"/>
      </w:pPr>
      <w:r>
        <w:rPr>
          <w:rFonts w:ascii="Arial" w:hAnsi="Arial"/>
          <w:color w:val="404040"/>
          <w:sz w:val="21"/>
        </w:rPr>
        <w:t>Aunque el tipo de cambio ya venía cayendo por factores externos asociados al conflicto en Medio Oriente y logróresistir gracias al cobre, el paquete introduce un componente local que podría empezar a ser monitoreado más de cerca por inversionistas y analistas.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cotiza a la baja cerca de $ 890 a medida que el cobre sube fuerte después de que Trump anuncia una extensión de la tregua con Irán</w:t>
      </w:r>
    </w:p>
    <w:p>
      <w:pPr>
        <w:spacing w:before="40" w:after="60"/>
        <w:ind w:left="283"/>
      </w:pPr>
      <w:r>
        <w:rPr>
          <w:rFonts w:ascii="Arial" w:hAnsi="Arial"/>
          <w:color w:val="404040"/>
          <w:sz w:val="21"/>
        </w:rPr>
        <w:t>El cobre Comex repuntaba 1,8% para cotizar a US$ 6,18 por libra, dándole un soporte al peso, en momentos en que el petróleo Brent superaba los US$ 100 por barril y un indicador del dólar global se apreciaba marginalmente.</w:t>
      </w:r>
    </w:p>
    <w:p>
      <w:pPr>
        <w:spacing w:before="40" w:after="60"/>
        <w:ind w:left="283"/>
      </w:pPr>
      <w:r>
        <w:rPr>
          <w:rFonts w:ascii="Arial" w:hAnsi="Arial"/>
          <w:color w:val="404040"/>
          <w:sz w:val="21"/>
        </w:rPr>
        <w:t>El dólar caía este miércoles, después de queDonald Trumpanunciara una extensión indefinida de la tregua con Irán, aunque el entusiasmo de lostradersse está viendo desafiado por el hecho de que Teheránsigue dificultando el paso por el estrecho de Ormuz.</w:t>
      </w:r>
    </w:p>
    <w:p>
      <w:pPr>
        <w:spacing w:before="40" w:after="60"/>
        <w:ind w:left="283"/>
      </w:pPr>
      <w:r>
        <w:rPr>
          <w:rFonts w:ascii="Arial" w:hAnsi="Arial"/>
          <w:color w:val="404040"/>
          <w:sz w:val="21"/>
        </w:rPr>
        <w:t>La divisa bajaba $ 4,8 a $ 890,2 antes del mediodía en el mercado local. El peso chileno lideraba los retornos entre las divisas emergentes, lo que, en todo caso, viene trassufrir el mayor golpe en la jornada previa, según los datos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Macarena Ossa, gerenta de la Asociación de Fondos Mutuos: "Es importante que las exigencias regulatorias no se conviertan en una carga innecesaria"</w:t>
      </w:r>
    </w:p>
    <w:p>
      <w:pPr>
        <w:spacing w:before="40" w:after="60"/>
        <w:ind w:left="283"/>
      </w:pPr>
      <w:r>
        <w:rPr>
          <w:rFonts w:ascii="Arial" w:hAnsi="Arial"/>
          <w:color w:val="404040"/>
          <w:sz w:val="21"/>
        </w:rPr>
        <w:t>La nueva alta ejecutiva de la agrupación delinea la hoja de ruta del sector.</w:t>
      </w:r>
    </w:p>
    <w:p>
      <w:pPr>
        <w:spacing w:before="40" w:after="60"/>
        <w:ind w:left="283"/>
      </w:pPr>
      <w:r>
        <w:rPr>
          <w:rFonts w:ascii="Arial" w:hAnsi="Arial"/>
          <w:color w:val="404040"/>
          <w:sz w:val="21"/>
        </w:rPr>
        <w:t>La nueva gerenta general de la Asociación de Fondos Mutuos., Macarena Ossa/Fotógrafo Jonathan Durán</w:t>
      </w:r>
    </w:p>
    <w:p>
      <w:pPr>
        <w:spacing w:before="40" w:after="60"/>
        <w:ind w:left="283"/>
      </w:pPr>
      <w:r>
        <w:rPr>
          <w:rFonts w:ascii="Arial" w:hAnsi="Arial"/>
          <w:color w:val="404040"/>
          <w:sz w:val="21"/>
        </w:rPr>
        <w:t>Después de siete años liderando la gerencia de desarrollo de laAsociación de Fondos Mutuos(AFM),a inicios de 2026,Macarena Ossaasumió la gerencia general del gremio en reemplazo deMónica Cavallini.</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Bolsa chilena repunta en primeros negocios tras anuncio de extensión del alto al fuego entre EEUU e Irán</w:t>
      </w:r>
    </w:p>
    <w:p>
      <w:pPr>
        <w:spacing w:before="40" w:after="60"/>
        <w:ind w:left="283"/>
      </w:pPr>
      <w:r>
        <w:rPr>
          <w:rFonts w:ascii="Arial" w:hAnsi="Arial"/>
          <w:color w:val="404040"/>
          <w:sz w:val="21"/>
        </w:rPr>
        <w:t>También Wall Street recuperaba terreno en la apertura. Con todo, el petróleo Brent seguía próximo a US$ 100 el barril, pues aún no hay señales de una pronta normalización del tráfico energético.</w:t>
      </w:r>
    </w:p>
    <w:p>
      <w:pPr>
        <w:spacing w:before="40" w:after="60"/>
        <w:ind w:left="283"/>
      </w:pPr>
      <w:r>
        <w:rPr>
          <w:rFonts w:ascii="Arial" w:hAnsi="Arial"/>
          <w:color w:val="404040"/>
          <w:sz w:val="21"/>
        </w:rPr>
        <w:t>Las bolsas de Santiago y Nueva York abrieron con ganancias este miércoles, tras la noticia de que Estados Unidosprolongará su tregua con Irándurante todo el tiempo que sea necesario para cerrar un acuerdo de paz.</w:t>
      </w:r>
    </w:p>
    <w:p>
      <w:pPr>
        <w:spacing w:before="40" w:after="60"/>
        <w:ind w:left="283"/>
      </w:pPr>
      <w:r>
        <w:rPr>
          <w:rFonts w:ascii="Arial" w:hAnsi="Arial"/>
          <w:color w:val="404040"/>
          <w:sz w:val="21"/>
        </w:rPr>
        <w:t>El S&amp;P IPSA subía 0,4% hasta los 11.165,38 puntosen los primeros negocios del mercado chileno. En cuanto a Wall Street,el Nasdaq crecía 0,8%, y el S&amp;P 500 con el Nasdaq ganaban 0,7%. En Europa, los índices bursátiles no tenían cambios relevantes.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CEO de BTG Pactual, Juan Guillermo Agüero: “No podemos darnos el lujo de no lograr acuerdos que nos permitan retomar la senda del crecimiento”</w:t>
      </w:r>
    </w:p>
    <w:p>
      <w:pPr>
        <w:spacing w:before="40" w:after="60"/>
        <w:ind w:left="283"/>
      </w:pPr>
      <w:r>
        <w:rPr>
          <w:rFonts w:ascii="Arial" w:hAnsi="Arial"/>
          <w:color w:val="404040"/>
          <w:sz w:val="21"/>
        </w:rPr>
        <w:t>En la apertura de Latam Focus 2026, el gerente general de BTG Pactual, Juan Guillermo Agüero, llamó al mundo político a destrabar acuerdos para reactivar el crecimiento y advirtió que “hay que salir de la lógica del bloqueo”.</w:t>
      </w:r>
    </w:p>
    <w:p>
      <w:pPr>
        <w:spacing w:before="40" w:after="60"/>
        <w:ind w:left="283"/>
      </w:pPr>
      <w:r>
        <w:rPr>
          <w:rFonts w:ascii="Arial" w:hAnsi="Arial"/>
          <w:color w:val="404040"/>
          <w:sz w:val="21"/>
        </w:rPr>
        <w:t>Ante una audiencia de cerca de mil personas, el CEO de BTG Pactual, Juan Guillermo Agüero, abrió el evento Latam Focus 2026 con un mensaje centrado en la necesidad de reimpulsar el crecimiento económico de Chile y recuperar el dinamismo perdido en los últimos años.</w:t>
      </w:r>
    </w:p>
    <w:p>
      <w:pPr>
        <w:spacing w:before="40" w:after="60"/>
        <w:ind w:left="283"/>
      </w:pPr>
      <w:r>
        <w:rPr>
          <w:rFonts w:ascii="Arial" w:hAnsi="Arial"/>
          <w:color w:val="404040"/>
          <w:sz w:val="21"/>
        </w:rPr>
        <w:t>En su intervención, Agüero partió saludando a las autoridades presentes, entre ellas el Presidente de la República, José Antonio Kast, quien hizo ingreso a la sala del Hotel W junto a sus ministros de Energía y Relaciones Exteriores, Ximena Rincón y Francisco Pérez Mackenna. Sobre su asistencia, afirmó que era“un testimonio de la importancia que su gobierno da al crecimiento económico y al mercado de capitales como motor de desarrollo y de creación de empleo”.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Principales bancos privados del país anotan dispares resultados al primer trimestre de 2026</w:t>
      </w:r>
    </w:p>
    <w:p>
      <w:pPr>
        <w:spacing w:before="40" w:after="60"/>
        <w:ind w:left="283"/>
      </w:pPr>
      <w:r>
        <w:rPr>
          <w:rFonts w:ascii="Arial" w:hAnsi="Arial"/>
          <w:color w:val="404040"/>
          <w:sz w:val="21"/>
        </w:rPr>
        <w:t>La inflación registrada entre enero y marzo afectó el desempeño de algunos actores de la industria.</w:t>
      </w:r>
    </w:p>
    <w:p>
      <w:pPr>
        <w:spacing w:before="40" w:after="60"/>
        <w:ind w:left="283"/>
      </w:pPr>
      <w:r>
        <w:rPr>
          <w:rFonts w:ascii="Arial" w:hAnsi="Arial"/>
          <w:color w:val="404040"/>
          <w:sz w:val="21"/>
        </w:rPr>
        <w:t>Resultados dispares marcaron el inicio de 2026 para la banca, en un trimestre en quela inflaciónvolvió a posicionarse como un elemento clave para el balance.</w:t>
      </w:r>
    </w:p>
    <w:p>
      <w:pPr>
        <w:spacing w:before="40" w:after="60"/>
        <w:ind w:left="283"/>
      </w:pPr>
      <w:r>
        <w:rPr>
          <w:rFonts w:ascii="Arial" w:hAnsi="Arial"/>
          <w:color w:val="404040"/>
          <w:sz w:val="21"/>
        </w:rPr>
        <w:t>Al cierre de los primeros tres meses del año,Bci y Scotiabank registraron alzas en sus utilidades respecto del mismo periodo del 2025, mientras que Banco de Chile, Santander e Itaú anotaron una caídaen sus ganancias.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Liderado por dos socios fundadores: el equipo de Picton que custodia los patrimonios de los ministros Barros y Mas</w:t>
      </w:r>
    </w:p>
    <w:p>
      <w:pPr>
        <w:spacing w:before="40" w:after="60"/>
        <w:ind w:left="283"/>
      </w:pPr>
      <w:r>
        <w:rPr>
          <w:rFonts w:ascii="Arial" w:hAnsi="Arial"/>
          <w:color w:val="404040"/>
          <w:sz w:val="21"/>
        </w:rPr>
        <w:t>Son acompañados por 20 ejecutivos y analistas. En 2025, el negocio de administración de carteras de la firma anotó 105 clientes, por US$ 2.580 millones.</w:t>
      </w:r>
    </w:p>
    <w:p>
      <w:pPr>
        <w:spacing w:before="40" w:after="60"/>
        <w:ind w:left="283"/>
      </w:pPr>
      <w:r>
        <w:rPr>
          <w:rFonts w:ascii="Arial" w:hAnsi="Arial"/>
          <w:color w:val="404040"/>
          <w:sz w:val="21"/>
        </w:rPr>
        <w:t>Augusto Undurraga, socio fundador y líder de Multi Family Office, y José Miguel Ureta, socio fundador y líder del área de inversiones.</w:t>
      </w:r>
    </w:p>
    <w:p>
      <w:pPr>
        <w:spacing w:before="40" w:after="60"/>
        <w:ind w:left="283"/>
      </w:pPr>
      <w:r>
        <w:rPr>
          <w:rFonts w:ascii="Arial" w:hAnsi="Arial"/>
          <w:color w:val="404040"/>
          <w:sz w:val="21"/>
        </w:rPr>
        <w:t>Entre las Declaraciones de Intereses y Patrimonio (DIP) que realizaron los ministros del gobierno de José Antonio Kast y que se liberaron a comienzos de la semana pasada, un actor financiero destacó comoel principal custodio de las fortunas del gabinete: Picton.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Producción trimestral de cobre de BHP cae 7%, pero minera refuerza proyección de acercarse a los 2 millones de toneladas anuales</w:t>
      </w:r>
    </w:p>
    <w:p>
      <w:pPr>
        <w:spacing w:before="40" w:after="60"/>
        <w:ind w:left="283"/>
      </w:pPr>
      <w:r>
        <w:rPr>
          <w:rFonts w:ascii="Arial" w:hAnsi="Arial"/>
          <w:color w:val="404040"/>
          <w:sz w:val="21"/>
        </w:rPr>
        <w:t>En el tercer trimestre fiscal de la compañía, Escondida reportó un récord de material minado y procesamiento en su concentradora, lo que compensó parcialmente las bajas leyes del mineral.</w:t>
      </w:r>
    </w:p>
    <w:p>
      <w:pPr>
        <w:spacing w:before="40" w:after="60"/>
        <w:ind w:left="283"/>
      </w:pPr>
      <w:r>
        <w:rPr>
          <w:rFonts w:ascii="Arial" w:hAnsi="Arial"/>
          <w:color w:val="404040"/>
          <w:sz w:val="21"/>
        </w:rPr>
        <w:t>La gigante minera BHPreforzó sus proyecciones anuales, las que apuntan a una producción de cobre cercana a las 2 millones de toneladas.Así, pese a anotar una caída del 7% en su desempeño cuprífero global durante el tercer trimestre fiscal de la compañía (enero-marzo), la minera australiana destacó un "sólido desempeño" en Escondida, con un rendimiento récord en su concentradora y de material minado.</w:t>
      </w:r>
    </w:p>
    <w:p>
      <w:pPr>
        <w:spacing w:before="40" w:after="60"/>
        <w:ind w:left="283"/>
      </w:pPr>
      <w:r>
        <w:rPr>
          <w:rFonts w:ascii="Arial" w:hAnsi="Arial"/>
          <w:color w:val="404040"/>
          <w:sz w:val="21"/>
        </w:rPr>
        <w:t>En la publicación de su reporte operacional correspondiente a los nueve meses terminados el 31 de marzo, el CEO global de BHP, Mike Henry, comentó que "el sólido desempeño en Escondida y Antamina (Perú)respalda nuestra expectativa de lograr una producción ubicada en la mitad superior de nuestra guía para 2026. Continuamos progresando con nuestro programa de crecimiento en cobre, consistente con poner nuestro foco en activos de largo plazo, de cobre de alta calidad y una asignación de capital disciplinada".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Subtel propone que PDI pueda solicitar información de direcciones IP cuando hay sospecha de delitos</w:t>
      </w:r>
    </w:p>
    <w:p>
      <w:pPr>
        <w:spacing w:before="40" w:after="60"/>
        <w:ind w:left="283"/>
      </w:pPr>
      <w:r>
        <w:rPr>
          <w:rFonts w:ascii="Arial" w:hAnsi="Arial"/>
          <w:color w:val="404040"/>
          <w:sz w:val="21"/>
        </w:rPr>
        <w:t>En el marco de la modificación a la Ley General de Telecomunicaciones, la autoridad planteó los riesgos de alterar la infraestructura de Internet.</w:t>
      </w:r>
    </w:p>
    <w:p>
      <w:pPr>
        <w:spacing w:before="40" w:after="60"/>
        <w:ind w:left="283"/>
      </w:pPr>
      <w:r>
        <w:rPr>
          <w:rFonts w:ascii="Arial" w:hAnsi="Arial"/>
          <w:color w:val="404040"/>
          <w:sz w:val="21"/>
        </w:rPr>
        <w:t>Subsecretaria de Telecomunicaciones, Romina Garrido.</w:t>
      </w:r>
    </w:p>
    <w:p>
      <w:pPr>
        <w:spacing w:before="40" w:after="60"/>
        <w:ind w:left="283"/>
      </w:pPr>
      <w:r>
        <w:rPr>
          <w:rFonts w:ascii="Arial" w:hAnsi="Arial"/>
          <w:color w:val="404040"/>
          <w:sz w:val="21"/>
        </w:rPr>
        <w:t>A eso de las 17:30 se dio comienzo a la sesión programada para este martes en la Comisión de Obras Públicas, Transportes y Telecomunicaciones de la Cámara de Diputados, a la que fue invitada la subsecretaria de Telecomunicaciones (Subtel), Romina Garrido.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Consultora detecta que la morosidad en contribuciones en Chile aumentó siete veces en cuatro años</w:t>
      </w:r>
    </w:p>
    <w:p>
      <w:pPr>
        <w:spacing w:before="40" w:after="60"/>
        <w:ind w:left="283"/>
      </w:pPr>
      <w:r>
        <w:rPr>
          <w:rFonts w:ascii="Arial" w:hAnsi="Arial"/>
          <w:color w:val="404040"/>
          <w:sz w:val="21"/>
        </w:rPr>
        <w:t>Colliers sugiere que el límite de tolerancia al pago del impuesto se ha alcanzado en amplios segmentos de contribuyentes, lo que, a su juicio, debe ser considerado en la discusión sobre eliminar el gravamen a mayores de 65 años y no afectar así a los municipios.</w:t>
      </w:r>
    </w:p>
    <w:p>
      <w:pPr>
        <w:spacing w:before="40" w:after="60"/>
        <w:ind w:left="283"/>
      </w:pPr>
      <w:r>
        <w:rPr>
          <w:rFonts w:ascii="Arial" w:hAnsi="Arial"/>
          <w:color w:val="404040"/>
          <w:sz w:val="21"/>
        </w:rPr>
        <w:t>El cobro de las contribuciones de bienes raíces está hoy en el centro de la discusiónluego que el Presidente José Antonio Kast anunciara, como parte del proyecto de Plan de Reconstrucción Nacional y Desarrollo Económico Social,la eliminación del impuesto para la vivienda principal de los adultos mayores de 65 años.</w:t>
      </w:r>
    </w:p>
    <w:p>
      <w:pPr>
        <w:spacing w:before="40" w:after="60"/>
        <w:ind w:left="283"/>
      </w:pPr>
      <w:r>
        <w:rPr>
          <w:rFonts w:ascii="Arial" w:hAnsi="Arial"/>
          <w:color w:val="404040"/>
          <w:sz w:val="21"/>
        </w:rPr>
        <w:t>Ahora, uno de los principales actores del mercado de consultoría inmobiliaria, la intermediadora Colliers, sumó un nuevo factor a considerar. Si bien desde la firma destacaron que la mentada medida busca reconocer el esfuerzo de una vida de trabajo y resguardar el patrimonio de quienes enfrentan ingresos reducidos en la vejez, detrás de esta iniciativa -afirman- existe una realidad cuantitativa que la discusión política no puede soslayar: el estado actual de la recaudación del impuesto territorial en Chile.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Ajustes en el precio del TAG: MOP inicia diálogo con concesionarias y apunta a rebajas de hasta 30%</w:t>
      </w:r>
    </w:p>
    <w:p>
      <w:pPr>
        <w:spacing w:before="40" w:after="60"/>
        <w:ind w:left="283"/>
      </w:pPr>
      <w:r>
        <w:rPr>
          <w:rFonts w:ascii="Arial" w:hAnsi="Arial"/>
          <w:color w:val="404040"/>
          <w:sz w:val="21"/>
        </w:rPr>
        <w:t>Los privados evalúan fórmulas como extender plazos de concesión, redistribuir ingresos y reducir pagos por obras existentes para viabilizar el objetivo.</w:t>
      </w:r>
    </w:p>
    <w:p>
      <w:pPr>
        <w:spacing w:before="40" w:after="60"/>
        <w:ind w:left="283"/>
      </w:pPr>
      <w:r>
        <w:rPr>
          <w:rFonts w:ascii="Arial" w:hAnsi="Arial"/>
          <w:color w:val="404040"/>
          <w:sz w:val="21"/>
        </w:rPr>
        <w:t>Una extensión de los plazos buscaría compensar la menor recaudación tarifaria. Foto: Julio Castro.</w:t>
      </w:r>
    </w:p>
    <w:p>
      <w:pPr>
        <w:spacing w:before="40" w:after="60"/>
        <w:ind w:left="283"/>
      </w:pPr>
      <w:r>
        <w:rPr>
          <w:rFonts w:ascii="Arial" w:hAnsi="Arial"/>
          <w:color w:val="404040"/>
          <w:sz w:val="21"/>
        </w:rPr>
        <w:t>El Ministerio de Obras Públicas (MOP), liderado por Martín Arrau, inició su gestión con el pie en el acelerador. En su primer mes en Morandé 59, la cartera ya ha anunciado una serie de medidas, entre ellas un plan de infraestructura carcelaria para enfrentar la crisis de seguridad, el destrabe de 70 obras prioritarias y el análisis de una eventual rebaja en las tarifas de peajes y del sistema TAG, esta última, la que ha generado mayor revuelo.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tiempos pasados no volverán”: el crudo diagnóstico de Concha y Toro ante el nuevo escenario de la industria</w:t>
      </w:r>
    </w:p>
    <w:p>
      <w:pPr>
        <w:spacing w:before="40" w:after="60"/>
        <w:ind w:left="283"/>
      </w:pPr>
      <w:r>
        <w:rPr>
          <w:rFonts w:ascii="Arial" w:hAnsi="Arial"/>
          <w:color w:val="404040"/>
          <w:sz w:val="21"/>
        </w:rPr>
        <w:t>La junta de accionistas también marcó el fin de la era de Alfonso Larraín en el directorio, tras casi seis décadas en la mesa.</w:t>
      </w:r>
    </w:p>
    <w:p>
      <w:pPr>
        <w:spacing w:before="40" w:after="60"/>
        <w:ind w:left="283"/>
      </w:pPr>
      <w:r>
        <w:rPr>
          <w:rFonts w:ascii="Arial" w:hAnsi="Arial"/>
          <w:color w:val="404040"/>
          <w:sz w:val="21"/>
        </w:rPr>
        <w:t>Al centro, presidente de Concha y Toro, Rafael Guilisasti; y gerente general de la bodega, Eduardo Guilisasti. Foto: Jonathan Duran</w:t>
      </w:r>
    </w:p>
    <w:p>
      <w:pPr>
        <w:spacing w:before="40" w:after="60"/>
        <w:ind w:left="283"/>
      </w:pPr>
      <w:r>
        <w:rPr>
          <w:rFonts w:ascii="Arial" w:hAnsi="Arial"/>
          <w:color w:val="404040"/>
          <w:sz w:val="21"/>
        </w:rPr>
        <w:t>“Hay un consenso, y cada vez más generalizado a nivel de la industria, de que los tiempos pasados no volverán. Y los que todavía creen que esto es algo transitorio, deben estar muy equivocados”. Con ese tono, el gerente general de Concha y Toro, Eduardo Guilisasti, delineó el complejo escenario que enfrenta la industria vitivinícola, durante la junta de accionistas realizada la tarde del martes.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Domingo Rojas, director nacional del SAG: “La mosca de la fruta nos tiene muy preocupados. Llevamos largo tiempo peleando con sus constantes brotes”</w:t>
      </w:r>
    </w:p>
    <w:p>
      <w:pPr>
        <w:spacing w:before="40" w:after="60"/>
        <w:ind w:left="283"/>
      </w:pPr>
      <w:r>
        <w:rPr>
          <w:rFonts w:ascii="Arial" w:hAnsi="Arial"/>
          <w:color w:val="404040"/>
          <w:sz w:val="21"/>
        </w:rPr>
        <w:t>La nueva autoridad del SAG sostuvo que la alta dirección del servicio se involucrará de lleno en resolver el tema. Sobre sus desafíos en el cargo, destacó la modernización de la institución con casi 60 años de historia.</w:t>
      </w:r>
    </w:p>
    <w:p>
      <w:pPr>
        <w:spacing w:before="40" w:after="60"/>
        <w:ind w:left="283"/>
      </w:pPr>
      <w:r>
        <w:rPr>
          <w:rFonts w:ascii="Arial" w:hAnsi="Arial"/>
          <w:color w:val="404040"/>
          <w:sz w:val="21"/>
        </w:rPr>
        <w:t>El ingeniero agrónomo Domingo Rojas fue una de las 12 “balas de plata” del Presidente José Antonio Kast: lo designó como director nacional del Servicio Agrícola y Ganadero (SAG), mismo cargo al que había postulado vía Alta Dirección Pública cuatro años antes, pero que, pese haber quedado en la terna final, no fue seleccionado por el gobierno anterior.</w:t>
      </w:r>
    </w:p>
    <w:p>
      <w:pPr>
        <w:spacing w:before="40" w:after="60"/>
        <w:ind w:left="283"/>
      </w:pPr>
      <w:r>
        <w:rPr>
          <w:rFonts w:ascii="Arial" w:hAnsi="Arial"/>
          <w:color w:val="404040"/>
          <w:sz w:val="21"/>
        </w:rPr>
        <w:t>Fue una jugada política inusual para este servicio, que para el mismo Rojas refleja “un mensaje potente que está dando el Presidente, de decir que este sector es relevante”, dijo a DF en su primera entrevista en el cargo.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Aguas Andinas se define como “un aliado estratégico” para el gobierno de Kast</w:t>
      </w:r>
    </w:p>
    <w:p>
      <w:pPr>
        <w:spacing w:before="40" w:after="60"/>
        <w:ind w:left="283"/>
      </w:pPr>
      <w:r>
        <w:rPr>
          <w:rFonts w:ascii="Arial" w:hAnsi="Arial"/>
          <w:color w:val="404040"/>
          <w:sz w:val="21"/>
        </w:rPr>
        <w:t>La sanitaria metropolitana dijo que comparte muchas de las urgencias de la nueva administración.</w:t>
      </w:r>
    </w:p>
    <w:p>
      <w:pPr>
        <w:spacing w:before="40" w:after="60"/>
        <w:ind w:left="283"/>
      </w:pPr>
      <w:r>
        <w:rPr>
          <w:rFonts w:ascii="Arial" w:hAnsi="Arial"/>
          <w:color w:val="404040"/>
          <w:sz w:val="21"/>
        </w:rPr>
        <w:t>Como un “aliado estratégico para que el país siga creciendo” se definió la sanitaria metropolitana Aguas Andinas de cara al nuevo gobierno de José Antonio Kast.</w:t>
      </w:r>
    </w:p>
    <w:p>
      <w:pPr>
        <w:spacing w:before="40" w:after="60"/>
        <w:ind w:left="283"/>
      </w:pPr>
      <w:r>
        <w:rPr>
          <w:rFonts w:ascii="Arial" w:hAnsi="Arial"/>
          <w:color w:val="404040"/>
          <w:sz w:val="21"/>
        </w:rPr>
        <w:t>Así lo señaló el presidente de la compañía, Felipe Larraín, en la junta de accionistas realizada este martes, donde indicó que “compartimos muchas de las urgencias” definidas por la nueva administración, por ejemplo, en materia de vivienda y agua potable rural y por ello su actitud será de activa “colaboración”.</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“Son los que marcan la pauta”: gerente general de Movicenter destaca fuerte giro hacia autos chinos en el país</w:t>
      </w:r>
    </w:p>
    <w:p>
      <w:pPr>
        <w:spacing w:before="40" w:after="60"/>
        <w:ind w:left="283"/>
      </w:pPr>
      <w:r>
        <w:rPr>
          <w:rFonts w:ascii="Arial" w:hAnsi="Arial"/>
          <w:color w:val="404040"/>
          <w:sz w:val="21"/>
        </w:rPr>
        <w:t>Ariel Benzaquen afirmó que dentro del centro comercial hoy un 40% de los vehículos son fabricados por el gigante asiático. En cuanto a electromovilidad, aseguró que las consultas subieron notablemente durante marzo.</w:t>
      </w:r>
    </w:p>
    <w:p>
      <w:pPr>
        <w:spacing w:before="40" w:after="60"/>
        <w:ind w:left="283"/>
      </w:pPr>
      <w:r>
        <w:rPr>
          <w:rFonts w:ascii="Arial" w:hAnsi="Arial"/>
          <w:color w:val="404040"/>
          <w:sz w:val="21"/>
        </w:rPr>
        <w:t>El gerente general de la compañía, Ariel Benzaquen.</w:t>
      </w:r>
    </w:p>
    <w:p>
      <w:pPr>
        <w:spacing w:before="40" w:after="60"/>
        <w:ind w:left="283"/>
      </w:pPr>
      <w:r>
        <w:rPr>
          <w:rFonts w:ascii="Arial" w:hAnsi="Arial"/>
          <w:color w:val="404040"/>
          <w:sz w:val="21"/>
        </w:rPr>
        <w:t>En marzo se cumplió un año desde que Ariel Benzaquen asumió como gerente general en Movicenter, emblemático centro comercial automovilístico –propiedad de la familia Ergas– ubicado en Huechuraba.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PDG termina con el misterio: sella acuerdo con el gobierno y respalda el proyecto de reactivación económica</w:t>
      </w:r>
    </w:p>
    <w:p>
      <w:pPr>
        <w:spacing w:before="40" w:after="60"/>
        <w:ind w:left="283"/>
      </w:pPr>
      <w:r>
        <w:rPr>
          <w:rFonts w:ascii="Arial" w:hAnsi="Arial"/>
          <w:color w:val="404040"/>
          <w:sz w:val="21"/>
        </w:rPr>
        <w:t>A cambio, el Ejecutivo se comprometió a ingresra un proyecto paralelo que acoger algunas de sus principales peticiones.</w:t>
      </w:r>
    </w:p>
    <w:p>
      <w:pPr>
        <w:spacing w:before="40" w:after="60"/>
        <w:ind w:left="283"/>
      </w:pPr>
      <w:r>
        <w:rPr>
          <w:rFonts w:ascii="Arial" w:hAnsi="Arial"/>
          <w:color w:val="404040"/>
          <w:sz w:val="21"/>
        </w:rPr>
        <w:t>Esta ajetreada mañana de miércoles terminó la incertidumbre no sóloacerca del ingreso del proyecto misceláneo al Congreso, específicamente a la Cámara Baja; sino también acerca del acuerdo que alcanzó el Partido de la Gente (PDG) con el Ejecutivo, yque dieron a conocer en conjunto la bancada de la colectividad y el ministro de la Segpres, José García Ruminot, tras una breve reunión entre ambas partes, que resulta ser el corolario de una serie de encuentros tras los que se selló el respaldo de la tienda a la idea de legislar de la iniciativa de reactivación económica.</w:t>
      </w:r>
    </w:p>
    <w:p>
      <w:pPr>
        <w:spacing w:before="40" w:after="60"/>
        <w:ind w:left="283"/>
      </w:pPr>
      <w:r>
        <w:rPr>
          <w:rFonts w:ascii="Arial" w:hAnsi="Arial"/>
          <w:color w:val="404040"/>
          <w:sz w:val="21"/>
        </w:rPr>
        <w:t>Tras la reunión del martes en la noche, cuyo resultado la bancada no quiso adelantar, pues estaban preparando la performance con la que finalmente confirmaron el acuerdo esta mañana de miércoles -oportunidad en quelos diputados se pararon ante la prensa con pequeños carteles con la frase “Plan alivio clase media”, nombre con el que bautizaron el acuerdo alcanzado-, se selló el destino del proyecto misceláneo.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Reconstrucción tras incendios: proyecto detalla beneficios tributarios, repatriación de capitales, condonación de deudas municipales y facilidades de pagos a la TGR</w:t>
      </w:r>
    </w:p>
    <w:p>
      <w:pPr>
        <w:spacing w:before="40" w:after="60"/>
        <w:ind w:left="283"/>
      </w:pPr>
      <w:r>
        <w:rPr>
          <w:rFonts w:ascii="Arial" w:hAnsi="Arial"/>
          <w:color w:val="404040"/>
          <w:sz w:val="21"/>
        </w:rPr>
        <w:t>El foco principal de las iniciativas está puesto en aumentar la recaudación de impuestos para financiar la ampliación del Fondo de Emergencia Transitorio por Incendios, que aportará los recursos necesarios para la reconstrucción de 4.102 viviendas en Biobío y 327 en Ñuble.</w:t>
      </w:r>
    </w:p>
    <w:p>
      <w:pPr>
        <w:spacing w:before="40" w:after="60"/>
        <w:ind w:left="283"/>
      </w:pPr>
      <w:r>
        <w:rPr>
          <w:rFonts w:ascii="Arial" w:hAnsi="Arial"/>
          <w:color w:val="404040"/>
          <w:sz w:val="21"/>
        </w:rPr>
        <w:t>Un proyecto que se ha vuelto clave en la estrategia mediática del nuevo gobierno para sacar adelante el enorme paquete de reformas que está impulsando es el que aborda lareconstrucción de las viviendas e infraestructuras destruidas a comienzos de año, durante los incendios de Ñuble y Biobío.</w:t>
      </w:r>
    </w:p>
    <w:p>
      <w:pPr>
        <w:spacing w:before="40" w:after="60"/>
        <w:ind w:left="283"/>
      </w:pPr>
      <w:r>
        <w:rPr>
          <w:rFonts w:ascii="Arial" w:hAnsi="Arial"/>
          <w:color w:val="404040"/>
          <w:sz w:val="21"/>
        </w:rPr>
        <w:t>Esto porque para parte de la oposición, que rechaza la rebaja de impuestos a las grandes empresas, trabar la aprobación del conjunto de iniciativas podría tener un alto costo político, apareciendo ante la opinión pública como el obstáculo para una medida que cuenta con amplio respaldo ciudadano.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llamado de Kast en seminario de BTG Pactual: “Decídanse a invertir acá, hoy la prioridad uno es dar empleo y el resto es música”</w:t>
      </w:r>
    </w:p>
    <w:p>
      <w:pPr>
        <w:spacing w:before="40" w:after="60"/>
        <w:ind w:left="283"/>
      </w:pPr>
      <w:r>
        <w:rPr>
          <w:rFonts w:ascii="Arial" w:hAnsi="Arial"/>
          <w:color w:val="404040"/>
          <w:sz w:val="21"/>
        </w:rPr>
        <w:t>El mandatario indicó que “la conversación pública hoy está llena de ruidos y opiniones que se ven como certezas de aquellas personas que nos llevaron a la situación actual con crecimiento estancado en 2%”.</w:t>
      </w:r>
    </w:p>
    <w:p>
      <w:pPr>
        <w:spacing w:before="40" w:after="60"/>
        <w:ind w:left="283"/>
      </w:pPr>
      <w:r>
        <w:rPr>
          <w:rFonts w:ascii="Arial" w:hAnsi="Arial"/>
          <w:color w:val="404040"/>
          <w:sz w:val="21"/>
        </w:rPr>
        <w:t>Ante un salón con cerca de 900 personas en el marco del seminario de BTG Pactual Latin Forus 2026, el Presidente José Antonio Kast, realizó una llamado a los privados a tener confianza en Chile y dinamizar proyectos.</w:t>
      </w:r>
    </w:p>
    <w:p>
      <w:pPr>
        <w:spacing w:before="40" w:after="60"/>
        <w:ind w:left="283"/>
      </w:pPr>
      <w:r>
        <w:rPr>
          <w:rFonts w:ascii="Arial" w:hAnsi="Arial"/>
          <w:color w:val="404040"/>
          <w:sz w:val="21"/>
        </w:rPr>
        <w:t>“Decídanse a invertir acá", dijo el mandatario. "Hoy la prioridad uno es dar empleo y el resto es música como decía el expresidente Ricardo Lagos. Chile puede crecer a más del 2%”.</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rebaja corporativa y la reintegración del sistema serán los principales costos para el Fisco: el detalle del proyecto misceláneo de reactivación y reconstrucción que envió Kast al Congreso</w:t>
      </w:r>
    </w:p>
    <w:p>
      <w:pPr>
        <w:spacing w:before="40" w:after="60"/>
        <w:ind w:left="283"/>
      </w:pPr>
      <w:r>
        <w:rPr>
          <w:rFonts w:ascii="Arial" w:hAnsi="Arial"/>
          <w:color w:val="404040"/>
          <w:sz w:val="21"/>
        </w:rPr>
        <w:t>El texto tiene más de 200 páginas de extensión, entre el proyecto y los informes financieros y de impacto regulatorio.</w:t>
      </w:r>
    </w:p>
    <w:p>
      <w:pPr>
        <w:spacing w:before="40" w:after="60"/>
        <w:ind w:left="283"/>
      </w:pPr>
      <w:r>
        <w:rPr>
          <w:rFonts w:ascii="Arial" w:hAnsi="Arial"/>
          <w:color w:val="404040"/>
          <w:sz w:val="21"/>
        </w:rPr>
        <w:t>Finalmente y con casi un mes de retraso, este miércoles el Presidente de la República, José Antonio Kast,envió al Congreso el proyecto de ley misceláneo de reconstruccióny reactivación económica, una de las principales promesas de campaña.</w:t>
      </w:r>
    </w:p>
    <w:p>
      <w:pPr>
        <w:spacing w:before="40" w:after="60"/>
        <w:ind w:left="283"/>
      </w:pPr>
      <w:r>
        <w:rPr>
          <w:rFonts w:ascii="Arial" w:hAnsi="Arial"/>
          <w:color w:val="404040"/>
          <w:sz w:val="21"/>
        </w:rPr>
        <w:t>El documento de 203 páginas al que accedió Diario Financiero contempla una serie de medidascomo lareducción del impuesto corporativo de 27% a 23%; la reintegración del sistema tributario; el aumento en el Fondo de Emergencia para la reconstrucción de Valparaíso, Ñuble y el Biobío, afectados por los incendios, por $ 400.000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Kast firma proyecto de reactivación: agradece respaldo oficialista y "buena disposición" de parlamentarios al texto que inicia hoy su tramitación</w:t>
      </w:r>
    </w:p>
    <w:p>
      <w:pPr>
        <w:spacing w:before="40" w:after="60"/>
        <w:ind w:left="283"/>
      </w:pPr>
      <w:r>
        <w:rPr>
          <w:rFonts w:ascii="Arial" w:hAnsi="Arial"/>
          <w:color w:val="404040"/>
          <w:sz w:val="21"/>
        </w:rPr>
        <w:t>"Si bien es un proyecto importante para nuestro gobierno, es mucho más relevante para el futuro de la nación", dijo el Presidente José Antonio Kast acompañado por los ministros del Comité Político durante la ceremonia de firma de la iniciativa miscelánea esta mañana en el Palacio de La Moneda.</w:t>
      </w:r>
    </w:p>
    <w:p>
      <w:pPr>
        <w:spacing w:before="40" w:after="60"/>
        <w:ind w:left="283"/>
      </w:pPr>
      <w:r>
        <w:rPr>
          <w:rFonts w:ascii="Arial" w:hAnsi="Arial"/>
          <w:color w:val="404040"/>
          <w:sz w:val="21"/>
        </w:rPr>
        <w:t>Kast estuvo acompañado por los ministros del Comité Político durante la ceremonia de firma del proyecto esta mañana en el Palacio de La Moneda. (Foto: Aton Chile)</w:t>
      </w:r>
    </w:p>
    <w:p>
      <w:pPr>
        <w:spacing w:before="40" w:after="60"/>
        <w:ind w:left="283"/>
      </w:pPr>
      <w:r>
        <w:rPr>
          <w:rFonts w:ascii="Arial" w:hAnsi="Arial"/>
          <w:color w:val="404040"/>
          <w:sz w:val="21"/>
        </w:rPr>
        <w:t>Negociaciones y llamadas telefónicas han marcado las horas decisivas antes delingreso al Congreso del proyecto de ley de reactivación y reconstrucción nacional, lo que ocurrirá este miércoles a las 11 de la mañana, cuando se dé cuenta ante la Sala de la Cámara de Diputados.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Un costoso récord para el bolsillo: la UF tardó menos de cinco años en pasar de $ 30 mil a $ 40 mil</w:t>
      </w:r>
    </w:p>
    <w:p>
      <w:pPr>
        <w:spacing w:before="40" w:after="60"/>
        <w:ind w:left="283"/>
      </w:pPr>
      <w:r>
        <w:rPr>
          <w:rFonts w:ascii="Arial" w:hAnsi="Arial"/>
          <w:color w:val="404040"/>
          <w:sz w:val="21"/>
        </w:rPr>
        <w:t>En el avance fueron determinantes el shock inflacionario luego de la pandemia y, en lo más reciente, el alza de la luz y las bencinas.</w:t>
      </w:r>
    </w:p>
    <w:p>
      <w:pPr>
        <w:spacing w:before="40" w:after="60"/>
        <w:ind w:left="283"/>
      </w:pPr>
      <w:r>
        <w:rPr>
          <w:rFonts w:ascii="Arial" w:hAnsi="Arial"/>
          <w:color w:val="404040"/>
          <w:sz w:val="21"/>
        </w:rPr>
        <w:t>Tal como se anticipó tras conocerse el aumento mensual de 1% que registró el Índice de Precios al Consumidor (IPC) en marzo, la Unidad de Fomento (UF) rompió una nueva barrera y escaló este martes hasta los $ 40 mil.</w:t>
      </w:r>
    </w:p>
    <w:p>
      <w:pPr>
        <w:spacing w:before="40" w:after="60"/>
        <w:ind w:left="283"/>
      </w:pPr>
      <w:r>
        <w:rPr>
          <w:rFonts w:ascii="Arial" w:hAnsi="Arial"/>
          <w:color w:val="404040"/>
          <w:sz w:val="21"/>
        </w:rPr>
        <w:t>Un avance que, aunque previsto, no pasó inadvertido dado que presiona el monto que se paga en una serie de servicios que se reajustan por el aumento del costo de la vida: por ejemplo, los dividendos en el caso de los deudores de créditos hipotecarios y/o el precio de los planes de Isapre, entre otros.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Empresarios buscan sacarle partido a Alemania para impulsar a las PYME</w:t>
      </w:r>
    </w:p>
    <w:p>
      <w:pPr>
        <w:spacing w:before="40" w:after="60"/>
        <w:ind w:left="283"/>
      </w:pPr>
      <w:r>
        <w:rPr>
          <w:rFonts w:ascii="Arial" w:hAnsi="Arial"/>
          <w:color w:val="404040"/>
          <w:sz w:val="21"/>
        </w:rPr>
        <w:t>Dirigentes de Grande PYME, Icare y la Cámara Chileno-Alemana (AHK Chile) viajaron para conocer el modelo Mittelstand.</w:t>
      </w:r>
    </w:p>
    <w:p>
      <w:pPr>
        <w:spacing w:before="40" w:after="60"/>
        <w:ind w:left="283"/>
      </w:pPr>
      <w:r>
        <w:rPr>
          <w:rFonts w:ascii="Arial" w:hAnsi="Arial"/>
          <w:color w:val="404040"/>
          <w:sz w:val="21"/>
        </w:rPr>
        <w:t>La delegación, liderada por Grande PYME, Icare y AHK Chile, en una de las actividades del viaje.</w:t>
      </w:r>
    </w:p>
    <w:p>
      <w:pPr>
        <w:spacing w:before="40" w:after="60"/>
        <w:ind w:left="283"/>
      </w:pPr>
      <w:r>
        <w:rPr>
          <w:rFonts w:ascii="Arial" w:hAnsi="Arial"/>
          <w:color w:val="404040"/>
          <w:sz w:val="21"/>
        </w:rPr>
        <w:t>Conocer in situ para inspirar. Así podría resumirse el objetivo que llevó a Alemania a una delegación de empresarios chilenos liderada por Grande PYME, Icare y la Cámara Chileno-Alemana (AHK Chile). En terreno, se sumergirán en el modelo Mittelstand, un ecosistema de empresas medianas que articula cadenas productivas con otras grandes, impulsa I+D y sostiene la competitividad exportadora de la nación germana.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abre la puerta a un rescate de la aerolínea Spirit y rechaza fusión United-American</w:t>
      </w:r>
    </w:p>
    <w:p>
      <w:pPr>
        <w:spacing w:before="40" w:after="60"/>
        <w:ind w:left="283"/>
      </w:pPr>
      <w:r>
        <w:rPr>
          <w:rFonts w:ascii="Arial" w:hAnsi="Arial"/>
          <w:color w:val="404040"/>
          <w:sz w:val="21"/>
        </w:rPr>
        <w:t>Las acciones de Spirit subieron hasta un 178% el martes tras los comentarios del mandatario. En tanto, los títulos de United y American bajaron.</w:t>
      </w:r>
    </w:p>
    <w:p>
      <w:pPr>
        <w:spacing w:before="40" w:after="60"/>
        <w:ind w:left="283"/>
      </w:pPr>
      <w:r>
        <w:rPr>
          <w:rFonts w:ascii="Arial" w:hAnsi="Arial"/>
          <w:color w:val="404040"/>
          <w:sz w:val="21"/>
        </w:rPr>
        <w:t>El Presidente de Estados Unidos, Donald Trump, dijo que le gustaría ver que surja un comprador para Spirit Aviation Holdings y se mostró abierto a que el gobierno acuda en ayuda de la aerolínea. También se opuso a una fusión entre American Airlines Group Inc. y United Airlines Holdings Inc.</w:t>
      </w:r>
    </w:p>
    <w:p>
      <w:pPr>
        <w:spacing w:before="40" w:after="60"/>
        <w:ind w:left="283"/>
      </w:pPr>
      <w:r>
        <w:rPr>
          <w:rFonts w:ascii="Arial" w:hAnsi="Arial"/>
          <w:color w:val="404040"/>
          <w:sz w:val="21"/>
        </w:rPr>
        <w:t>“Spirit está en problemas, y me encantaría que alguien la comprara”,dijo Trump el martes en una entrevista con CNBC, y agregó que “quizás el gobierno federal debería ayudar en este caso”,dado que hay 14.000 empleos en juego.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Coca-Cola inaugura nuevo centro de distribución en Argentina con inversión de US$ 51 millones</w:t>
      </w:r>
    </w:p>
    <w:p>
      <w:pPr>
        <w:spacing w:before="40" w:after="60"/>
        <w:ind w:left="283"/>
      </w:pPr>
      <w:r>
        <w:rPr>
          <w:rFonts w:ascii="Arial" w:hAnsi="Arial"/>
          <w:color w:val="404040"/>
          <w:sz w:val="21"/>
        </w:rPr>
        <w:t>Bajo el nombre de "Nuevo Norte", el centro permitirá optimizar la operación y mejorar los niveles de servicio para miles de comercios en el área Metropolitana de Buenos Aires.</w:t>
      </w:r>
    </w:p>
    <w:p>
      <w:pPr>
        <w:spacing w:before="40" w:after="60"/>
        <w:ind w:left="283"/>
      </w:pPr>
      <w:r>
        <w:rPr>
          <w:rFonts w:ascii="Arial" w:hAnsi="Arial"/>
          <w:color w:val="404040"/>
          <w:sz w:val="21"/>
        </w:rPr>
        <w:t>Con una inversión de US$ 51 millones,Coca-Colainauguró un nuevo centro de distribución en Argentina, ubicado en el municipio de Tres de Febrero en la provincia de Buenos Aires.</w:t>
      </w:r>
    </w:p>
    <w:p>
      <w:pPr>
        <w:spacing w:before="40" w:after="60"/>
        <w:ind w:left="283"/>
      </w:pPr>
      <w:r>
        <w:rPr>
          <w:rFonts w:ascii="Arial" w:hAnsi="Arial"/>
          <w:color w:val="404040"/>
          <w:sz w:val="21"/>
        </w:rPr>
        <w:t>Bajo el nombre de "Nuevo Norte",localizado específicamente en el Parque Logístico de Camino del Buen Ayre, el centropermitirá optimizar la operación y mejorar los niveles de serviciopara miles de comercios en el área Metropolitana de Buenos Aires, según explicó la firma.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Dos buques portacontenedores fueron atacados en el estrecho de Ormuz luego de que Trump extendiera el cese al fuego</w:t>
      </w:r>
    </w:p>
    <w:p>
      <w:pPr>
        <w:spacing w:before="40" w:after="60"/>
        <w:ind w:left="283"/>
      </w:pPr>
      <w:r>
        <w:rPr>
          <w:rFonts w:ascii="Arial" w:hAnsi="Arial"/>
          <w:color w:val="404040"/>
          <w:sz w:val="21"/>
        </w:rPr>
        <w:t>El crudo Brent se acercaba a los US$ 100 por barril tras las noticias de los ataques a los buques.</w:t>
      </w:r>
    </w:p>
    <w:p>
      <w:pPr>
        <w:spacing w:before="40" w:after="60"/>
        <w:ind w:left="283"/>
      </w:pPr>
      <w:r>
        <w:rPr>
          <w:rFonts w:ascii="Arial" w:hAnsi="Arial"/>
          <w:color w:val="404040"/>
          <w:sz w:val="21"/>
        </w:rPr>
        <w:t>Los últimos incidentes demuestran el alto riesgo de transitar por el punto estratégico energético más importante del mundo. (Foto: Reuters)</w:t>
      </w:r>
    </w:p>
    <w:p>
      <w:pPr>
        <w:spacing w:before="40" w:after="60"/>
        <w:ind w:left="283"/>
      </w:pPr>
      <w:r>
        <w:rPr>
          <w:rFonts w:ascii="Arial" w:hAnsi="Arial"/>
          <w:color w:val="404040"/>
          <w:sz w:val="21"/>
        </w:rPr>
        <w:t>La Armada británica informó quedos buques portacontenedores fueron atacados cerca del estrecho de Ormuz, en los últimos incidentes tras los tiroteos del fin de semana que aumentaron la tensión en esta vía marítima vital y paralizaron prácticamente el tráfico marítimo.El crudo Brent se acercaba a los US$ 100 por barriltras las noticias de los ataques a los buques.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“Cambio de régimen” para la Fed: Warsh apunta a modificar la conducción de la política monetaria y enterrar el dot plot</w:t>
      </w:r>
    </w:p>
    <w:p>
      <w:pPr>
        <w:spacing w:before="40" w:after="60"/>
        <w:ind w:left="283"/>
      </w:pPr>
      <w:r>
        <w:rPr>
          <w:rFonts w:ascii="Arial" w:hAnsi="Arial"/>
          <w:color w:val="404040"/>
          <w:sz w:val="21"/>
        </w:rPr>
        <w:t>En el comité de Banca del Senado, el nominado de Trump para liderar la Reserva Federal criticó la visión con la que el banco central ha interpretado la economía desde la crisis financiera.</w:t>
      </w:r>
    </w:p>
    <w:p>
      <w:pPr>
        <w:spacing w:before="40" w:after="60"/>
        <w:ind w:left="283"/>
      </w:pPr>
      <w:r>
        <w:rPr>
          <w:rFonts w:ascii="Arial" w:hAnsi="Arial"/>
          <w:color w:val="404040"/>
          <w:sz w:val="21"/>
        </w:rPr>
        <w:t>Kevin Warsh fue gobernador de la Fed entre 2006 y 2011, enfrentando la crisis financiera junto a Ben Bernanke.</w:t>
      </w:r>
    </w:p>
    <w:p>
      <w:pPr>
        <w:spacing w:before="40" w:after="60"/>
        <w:ind w:left="283"/>
      </w:pPr>
      <w:r>
        <w:rPr>
          <w:rFonts w:ascii="Arial" w:hAnsi="Arial"/>
          <w:color w:val="404040"/>
          <w:sz w:val="21"/>
        </w:rPr>
        <w:t>El proceso de confirmación de Kevin Warsh para convertirse en el nuevo presidente de la Reserva Federal tuvo este martes su primer capítulo. El nominado de Donald Trump para suceder a Jerome Powell en el banco central de mayor peso a nivel mundial, asistió a una audiencia en el comité de Banca del Senado, donde aseguró que la Reserva Federal necesita una transformación profunda.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Wise y Massiva crean empresa conjunta y alistan metaverso en el móvil para marcas</w:t>
      </w:r>
    </w:p>
    <w:p>
      <w:pPr>
        <w:spacing w:before="40" w:after="60"/>
        <w:ind w:left="283"/>
      </w:pPr>
      <w:r>
        <w:rPr>
          <w:rFonts w:ascii="Arial" w:hAnsi="Arial"/>
          <w:color w:val="404040"/>
          <w:sz w:val="21"/>
        </w:rPr>
        <w:t>A diferencia de la visión inmersiva y uso lentes de realidad virtual, Fan Tactics apuesta por el uso de los teléfonos de los usuarios, quienes podrán acumular monedas virtuales y canjearlas en el mundo real.</w:t>
      </w:r>
    </w:p>
    <w:p>
      <w:pPr>
        <w:spacing w:before="40" w:after="60"/>
        <w:ind w:left="283"/>
      </w:pPr>
      <w:r>
        <w:rPr>
          <w:rFonts w:ascii="Arial" w:hAnsi="Arial"/>
          <w:color w:val="404040"/>
          <w:sz w:val="21"/>
        </w:rPr>
        <w:t>Visualización digital del metaverso móvil de Fan Tactics.</w:t>
      </w:r>
    </w:p>
    <w:p>
      <w:pPr>
        <w:spacing w:before="40" w:after="60"/>
        <w:ind w:left="283"/>
      </w:pPr>
      <w:r>
        <w:rPr>
          <w:rFonts w:ascii="Arial" w:hAnsi="Arial"/>
          <w:color w:val="404040"/>
          <w:sz w:val="21"/>
        </w:rPr>
        <w:t>El metaverso no está muerto. Al menos eso creen Wise Innovation Studios y Massiva. La startup chilena de metamarketing y la firma de publicidad en vía pública anunciaron la creación de una empresa conjunta que se llamará Fan Tactics, para desarrollar plataformas de interacción entre marcas y audiencias.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Cámara Chilena de IA alertó sobre Mythos y llamó a elevar los estándares de resiliencia digital</w:t>
      </w:r>
    </w:p>
    <w:p>
      <w:pPr>
        <w:spacing w:before="40" w:after="60"/>
        <w:ind w:left="283"/>
      </w:pPr>
      <w:r>
        <w:rPr>
          <w:rFonts w:ascii="Arial" w:hAnsi="Arial"/>
          <w:color w:val="404040"/>
          <w:sz w:val="21"/>
        </w:rPr>
        <w:t>El gremio dijo que el agente de IA Anthropic plantea un desafío para la seguridad sistémica.</w:t>
      </w:r>
    </w:p>
    <w:p>
      <w:pPr>
        <w:spacing w:before="40" w:after="60"/>
        <w:ind w:left="283"/>
      </w:pPr>
      <w:r>
        <w:rPr>
          <w:rFonts w:ascii="Arial" w:hAnsi="Arial"/>
          <w:color w:val="404040"/>
          <w:sz w:val="21"/>
        </w:rPr>
        <w:t>Anthropic sigue dando de qué hablar. A su nuevo modelo Claude Cowork –que puso en jaque la hegemonía del software de gestión- sumó Mythos, un agente de inteligencia artificial (IA) que permite detectar, pero también explotar, vulnerabilidades de ciberseguridad. Sin embargo, la tecnológica de Silicon Valley señaló que el modelo era tan avanzado, que decidió limitar su uso a un grupo reducido de empresas (Project Glasswing).</w:t>
      </w:r>
    </w:p>
    <w:p>
      <w:pPr>
        <w:spacing w:before="40" w:after="60"/>
        <w:ind w:left="283"/>
      </w:pPr>
      <w:r>
        <w:rPr>
          <w:rFonts w:ascii="Arial" w:hAnsi="Arial"/>
          <w:color w:val="404040"/>
          <w:sz w:val="21"/>
        </w:rPr>
        <w:t>La singularidad de estas declaraciones disparó las alertas en empresas, gremios y gobiernos de todo el mundo. En Chile, la Cámara Chilena de Inteligencia Artificial (CCHIA), un gremio que debutó en 2025 y que reúne a 45 socios –startups, consultoras y empresas de IA- señaló que si bien el modelo promete una capacidad defensiva revolucionaria para parchar infraestructuras críticas, también plantea un desafío ético y de seguridad sistémica.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Rebaja del impuesto corporativo: menos caricatura</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12 años de discursos</w:t>
      </w:r>
    </w:p>
    <w:p>
      <w:pPr>
        <w:spacing w:before="40" w:after="60"/>
        <w:ind w:left="283"/>
      </w:pPr>
      <w:r>
        <w:rPr>
          <w:rFonts w:ascii="Arial" w:hAnsi="Arial"/>
          <w:color w:val="404040"/>
          <w:sz w:val="21"/>
        </w:rPr>
        <w:t>Hay una pregunta que los parlamentarios chilenos deberían hacerse antes de votar: ¿cuántas familias han salido de la pobreza gracias a un subsidio y cuántas gracias a un empleo digno? La respuesta es conocida. No hay mejor política social que el trabajo. Genera ingresos, autoestima, proyecto de vida y herencia para los hijos. Ningún bono lo reemplaza.</w:t>
      </w:r>
    </w:p>
    <w:p>
      <w:pPr>
        <w:spacing w:before="40" w:after="60"/>
        <w:ind w:left="283"/>
      </w:pPr>
      <w:r>
        <w:rPr>
          <w:rFonts w:ascii="Arial" w:hAnsi="Arial"/>
          <w:color w:val="404040"/>
          <w:sz w:val="21"/>
        </w:rPr>
        <w:t>Es llamativo que la rebaja al impuesto corporativo, que el propio exPresidente Boric consideraba necesaria, hoy se presente como un ataque a los más vulnerables. Mientras Chile subía sus impuestos corporativos del 17% al 27%, todos los países de la OCDE los bajaban del 31% al 22% en promedio. ¿Estaban equivocados? ¿O nosotros fuimos la excepción que confirma el fracaso?</w:t>
      </w:r>
    </w:p>
    <w:p>
      <w:pPr>
        <w:spacing w:before="40" w:after="60"/>
        <w:ind w:left="283"/>
      </w:pPr>
      <w:r>
        <w:rPr>
          <w:rFonts w:ascii="Arial" w:hAnsi="Arial"/>
          <w:color w:val="404040"/>
          <w:sz w:val="21"/>
        </w:rPr>
        <w:t>El resultado está a la vista: una década de crecimiento al 2%, inversión contraída y cesantía estructural. No fueron los trabajadores quienes se beneficiaron de esa política. Fueron los discursos.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22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