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23 De Abril De 2026</w:t>
      </w:r>
    </w:p>
    <w:p>
      <w:pPr>
        <w:jc w:val="center"/>
      </w:pPr>
      <w:r>
        <w:rPr>
          <w:rFonts w:ascii="Arial" w:hAnsi="Arial"/>
          <w:color w:val="999999"/>
          <w:sz w:val="20"/>
        </w:rPr>
        <w:t>6 secciones  ·  41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Carozzi levanta casi US$ 70 millones gracias a un bono a más de 20 años plazo en el mercado chileno</w:t>
      </w:r>
    </w:p>
    <w:p>
      <w:pPr>
        <w:spacing w:before="40" w:after="60"/>
        <w:ind w:left="283"/>
      </w:pPr>
      <w:r>
        <w:rPr>
          <w:rFonts w:ascii="Arial" w:hAnsi="Arial"/>
          <w:color w:val="404040"/>
          <w:sz w:val="21"/>
        </w:rPr>
        <w:t>En medio del repunte de las expectativas inflacionarias, varias empresas líderes en su sector han salido a colocar deuda indexada al nivel de precios en el mercado local, incluyendo a Metrogas, Cencosud y Ruta del Maipo.</w:t>
      </w:r>
    </w:p>
    <w:p>
      <w:pPr>
        <w:spacing w:before="40" w:after="60"/>
        <w:ind w:left="283"/>
      </w:pPr>
      <w:r>
        <w:rPr>
          <w:rFonts w:ascii="Arial" w:hAnsi="Arial"/>
          <w:color w:val="404040"/>
          <w:sz w:val="21"/>
        </w:rPr>
        <w:t>Carozzi salió a ofrecer un bono de largo plazo y recaudó el equivalente a unos US$ 67 millones, tras cortejar a inversionistas deseosos de exponerse ala UFen estos tiempos de mayor presión inflacionaria.</w:t>
      </w:r>
    </w:p>
    <w:p>
      <w:pPr>
        <w:spacing w:before="40" w:after="60"/>
        <w:ind w:left="283"/>
      </w:pPr>
      <w:r>
        <w:rPr>
          <w:rFonts w:ascii="Arial" w:hAnsi="Arial"/>
          <w:color w:val="404040"/>
          <w:sz w:val="21"/>
        </w:rPr>
        <w:t>La multinacional de la familia Bofill recaudóUF 1,5 millóncon el bono serie Y en la mañana de este jueves.La operación logró una tasa de interés promedio de 3,14%, cifra que representa unspreadde alrededor de 70 puntos basey está por debajo de la tasa de inscripción de 3,47%.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vuelve a caer y pierde la marca de 11.000 puntos frente a la incertidumbre por el bloqueo del estrecho de Ormuz</w:t>
      </w:r>
    </w:p>
    <w:p>
      <w:pPr>
        <w:spacing w:before="40" w:after="60"/>
        <w:ind w:left="283"/>
      </w:pPr>
      <w:r>
        <w:rPr>
          <w:rFonts w:ascii="Arial" w:hAnsi="Arial"/>
          <w:color w:val="404040"/>
          <w:sz w:val="21"/>
        </w:rPr>
        <w:t>Trump está esperando que Irán acceda a entregar sus inventarios de uranio altamente enriquecido. Mientras, el Presidente de EEUU ordenó a la Armada que "dispare y destruya cualquier embarcación" que esté colocando minas en aguas del pasaje.</w:t>
      </w:r>
    </w:p>
    <w:p>
      <w:pPr>
        <w:spacing w:before="40" w:after="60"/>
        <w:ind w:left="283"/>
      </w:pPr>
      <w:r>
        <w:rPr>
          <w:rFonts w:ascii="Arial" w:hAnsi="Arial"/>
          <w:color w:val="404040"/>
          <w:sz w:val="21"/>
        </w:rPr>
        <w:t>Las bolsas caían este jueves, ya que el panorama del comercio energético se ha nublado por el persistente bloqueo del estrecho de Ormuz, y proliferan las alertas sobre el potencial daño a la economía global.</w:t>
      </w:r>
    </w:p>
    <w:p>
      <w:pPr>
        <w:spacing w:before="40" w:after="60"/>
        <w:ind w:left="283"/>
      </w:pPr>
      <w:r>
        <w:rPr>
          <w:rFonts w:ascii="Arial" w:hAnsi="Arial"/>
          <w:color w:val="404040"/>
          <w:sz w:val="21"/>
        </w:rPr>
        <w:t>Después decuatro sesiones a la baja,el S&amp;P IPSA descendía 0,3% hasta los 10.973,55 puntosen la apertura de la Bolsa de Santiago, con gran influencia delBanco de Chile (-1,5%) y SQM-B (-1%).</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con leve subida mientras no avanzan negociaciones entre EEUU e Irán para destrabar el estrecho de Ormuz</w:t>
      </w:r>
    </w:p>
    <w:p>
      <w:pPr>
        <w:spacing w:before="40" w:after="60"/>
        <w:ind w:left="283"/>
      </w:pPr>
      <w:r>
        <w:rPr>
          <w:rFonts w:ascii="Arial" w:hAnsi="Arial"/>
          <w:color w:val="404040"/>
          <w:sz w:val="21"/>
        </w:rPr>
        <w:t>El tipo de cambio cerró a la baja este jueves, siendo el peso chileno una de las pocas divisas emergentes que se apreciaron, en momentos en que el cobre Comex alcanzaba los US$ 6,2 por libra.</w:t>
      </w:r>
    </w:p>
    <w:p>
      <w:pPr>
        <w:spacing w:before="40" w:after="60"/>
        <w:ind w:left="283"/>
      </w:pPr>
      <w:r>
        <w:rPr>
          <w:rFonts w:ascii="Arial" w:hAnsi="Arial"/>
          <w:color w:val="404040"/>
          <w:sz w:val="21"/>
        </w:rPr>
        <w:t>El dólar abrió al alza este jueves en Chile, en momentos en que las negociaciones entre Estados Unidos e Irán para resolver el conflicto se encuentran un punto muerto, y el bloqueo del estrecho de Ormuz hace temer consecuencias aún más negativas para la economía global.</w:t>
      </w:r>
    </w:p>
    <w:p>
      <w:pPr>
        <w:spacing w:before="40" w:after="60"/>
        <w:ind w:left="283"/>
      </w:pPr>
      <w:r>
        <w:rPr>
          <w:rFonts w:ascii="Arial" w:hAnsi="Arial"/>
          <w:color w:val="404040"/>
          <w:sz w:val="21"/>
        </w:rPr>
        <w:t>La divisa subía $ 1,6 hasta los $ 891,3 en las primeras transacciones, según datos de Bloomberg. Un indicador del dólar global se fortalecía marginalmente yel cobre Comex retrocedía 0,9% a US$ 6,13 por libra, mientras el petróleo Brent se estabilizaba un poco más arriba de US$ 100 el barril.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Vinci Compass integrará negocio en Argentina con BACS Asset Management</w:t>
      </w:r>
    </w:p>
    <w:p>
      <w:pPr>
        <w:spacing w:before="40" w:after="60"/>
        <w:ind w:left="283"/>
      </w:pPr>
      <w:r>
        <w:rPr>
          <w:rFonts w:ascii="Arial" w:hAnsi="Arial"/>
          <w:color w:val="404040"/>
          <w:sz w:val="21"/>
        </w:rPr>
        <w:t>La plataforma resultante de la operación alcanzará los US$ 1.600 millones bajo administración. Se concretará en este segundo trimestre.</w:t>
      </w:r>
    </w:p>
    <w:p>
      <w:pPr>
        <w:spacing w:before="40" w:after="60"/>
        <w:ind w:left="283"/>
      </w:pPr>
      <w:r>
        <w:rPr>
          <w:rFonts w:ascii="Arial" w:hAnsi="Arial"/>
          <w:color w:val="404040"/>
          <w:sz w:val="21"/>
        </w:rPr>
        <w:t>Vinci Compass Investments anunció este miércoles la firma de un acuerdo para integrar sus operaciones de gestión de activos en Argentina con BACS Administradora de Activos, una administradora local de fondos mutuos y plataforma de mercado de capitales, que opera bajo la marca Toronto Trust.</w:t>
      </w:r>
    </w:p>
    <w:p>
      <w:pPr>
        <w:spacing w:before="40" w:after="60"/>
        <w:ind w:left="283"/>
      </w:pPr>
      <w:r>
        <w:rPr>
          <w:rFonts w:ascii="Arial" w:hAnsi="Arial"/>
          <w:color w:val="404040"/>
          <w:sz w:val="21"/>
        </w:rPr>
        <w:t>De este modo, se integrarán las operaciones de Investis Asset Management, el negocio de administración de activos que Vinci Compass posee en el país trasandino, con BACS, que al cierre de marzo de este año tenía bajo su gestión US$ 800 millones. Como resultado de la operación, que se espera se concrete en el segundo trimestre de 2026, la plataforma combinada alcanzará cerca de US$ 1.600 millones en activos bajo administración.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Juan Guillermo Agüero, gerente general de BTG Pactual Chile: “Debemos ir hacia un sistema en que no haya impuesto a la ganancia de capital para nadie”</w:t>
      </w:r>
    </w:p>
    <w:p>
      <w:pPr>
        <w:spacing w:before="40" w:after="60"/>
        <w:ind w:left="283"/>
      </w:pPr>
      <w:r>
        <w:rPr>
          <w:rFonts w:ascii="Arial" w:hAnsi="Arial"/>
          <w:color w:val="404040"/>
          <w:sz w:val="21"/>
        </w:rPr>
        <w:t>Para el ejecutivo, el proyecto de Kast requiere también de que los empresarios “den empleo, inviertan y es un esfuerzo que tiene que ser más amplio que el gobierno”.</w:t>
      </w:r>
    </w:p>
    <w:p>
      <w:pPr>
        <w:spacing w:before="40" w:after="60"/>
        <w:ind w:left="283"/>
      </w:pPr>
      <w:r>
        <w:rPr>
          <w:rFonts w:ascii="Arial" w:hAnsi="Arial"/>
          <w:color w:val="404040"/>
          <w:sz w:val="21"/>
        </w:rPr>
        <w:t>Fueron cerca de 1.000 ejecutivos, empresarios e inversionistas los que llegaron este miércoles hasta el salón principal del Hotel W Santiago para la más reciente edición del seminario anual de BTG Pactual Chile.</w:t>
      </w:r>
    </w:p>
    <w:p>
      <w:pPr>
        <w:spacing w:before="40" w:after="60"/>
        <w:ind w:left="283"/>
      </w:pPr>
      <w:r>
        <w:rPr>
          <w:rFonts w:ascii="Arial" w:hAnsi="Arial"/>
          <w:color w:val="404040"/>
          <w:sz w:val="21"/>
        </w:rPr>
        <w:t>Con las primeras definiciones del nuevo ciclo económico y político como telón de fondo, las conversaciones en los pasillos del centro de eventos giraron en torno al envío al Congreso del proyecto misceláneo de reactivación y reconstrucción de la administración del Presidente José Antonio Kast.</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Gremios del sector financiero piden a la CMF avanzar en proporcionalidad regulatoria</w:t>
      </w:r>
    </w:p>
    <w:p>
      <w:pPr>
        <w:spacing w:before="40" w:after="60"/>
        <w:ind w:left="283"/>
      </w:pPr>
      <w:r>
        <w:rPr>
          <w:rFonts w:ascii="Arial" w:hAnsi="Arial"/>
          <w:color w:val="404040"/>
          <w:sz w:val="21"/>
        </w:rPr>
        <w:t>Advirtieron que la actual carga normativa está elevando costos y aumentando las barreras de entrada, mientras el regulador apuntó que avanzará en iniciativa clave.</w:t>
      </w:r>
    </w:p>
    <w:p>
      <w:pPr>
        <w:spacing w:before="40" w:after="60"/>
        <w:ind w:left="283"/>
      </w:pPr>
      <w:r>
        <w:rPr>
          <w:rFonts w:ascii="Arial" w:hAnsi="Arial"/>
          <w:color w:val="404040"/>
          <w:sz w:val="21"/>
        </w:rPr>
        <w:t>La presidenta de la Comisión para el Mercado Financiero (CMF), Catherine Tornel.</w:t>
      </w:r>
    </w:p>
    <w:p>
      <w:pPr>
        <w:spacing w:before="40" w:after="60"/>
        <w:ind w:left="283"/>
      </w:pPr>
      <w:r>
        <w:rPr>
          <w:rFonts w:ascii="Arial" w:hAnsi="Arial"/>
          <w:color w:val="404040"/>
          <w:sz w:val="21"/>
        </w:rPr>
        <w:t>Aunque cuenta con la venia de la industria, la presidenta de la Comisión para el Mercado Financiero (CMF), Catherine Tornel, tomó nota de las principales normas, que, a juicio de los principales gremios del sector, afectan el desarrollo del negocio.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PacificBlu certifica sustentabilidad en pesca industrial de la merluza común y abre acceso a nuevos mercados internacionales</w:t>
      </w:r>
    </w:p>
    <w:p>
      <w:pPr>
        <w:spacing w:before="40" w:after="60"/>
        <w:ind w:left="283"/>
      </w:pPr>
      <w:r>
        <w:rPr>
          <w:rFonts w:ascii="Arial" w:hAnsi="Arial"/>
          <w:color w:val="404040"/>
          <w:sz w:val="21"/>
        </w:rPr>
        <w:t>El sello MSC reconoce el manejo respetuoso del ecosistema marino. Sin embargo, el aumento de la pesca ilegal ha bajado sistemáticamente la cuota de captura, afectando a industriales y artesanales.</w:t>
      </w:r>
    </w:p>
    <w:p>
      <w:pPr>
        <w:spacing w:before="40" w:after="60"/>
        <w:ind w:left="283"/>
      </w:pPr>
      <w:r>
        <w:rPr>
          <w:rFonts w:ascii="Arial" w:hAnsi="Arial"/>
          <w:color w:val="404040"/>
          <w:sz w:val="21"/>
        </w:rPr>
        <w:t>Lapesquería industrial de la merluza común, operada por las empresasPacificBlu y Friosur,certificó la sustentabilidad del proceso a través deMarine Stewardship Council (MSC).Este estándar de competitividad posiciona a la captura del recurso en una categoría superior de trazabilidad y sostenibilidad económica, permitiendo a la industria nacional aumentar su presencia en mercados internacionales.</w:t>
      </w:r>
    </w:p>
    <w:p>
      <w:pPr>
        <w:spacing w:before="40" w:after="60"/>
        <w:ind w:left="283"/>
      </w:pPr>
      <w:r>
        <w:rPr>
          <w:rFonts w:ascii="Arial" w:hAnsi="Arial"/>
          <w:color w:val="404040"/>
          <w:sz w:val="21"/>
        </w:rPr>
        <w:t>ParaMarcel Moenne, gerente general de Pacific Blu,el sello MSC es el resultado de un trabajo conjunto de las tripulaciones, los equipos técnicos y el vínculo permanente que la empresa mantiene con la academia y la autoridad para que los procesos de captura se ajusten al cuidado de los ecosistemas marinos. “Esta certificación prueba que nuestra pesca de merluza común con arrastre es sustentable, derriba mitos y desmiente falsas acusaciones que por años se han utilizado para justificar cambios regulatorios en contra de nuestra actividad basándose en prejuicios y no en evidencia científica”,señaló.</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US$ 105 millones en deudas: reconocida exportadora frutícola chilena al borde de la quiebra</w:t>
      </w:r>
    </w:p>
    <w:p>
      <w:pPr>
        <w:spacing w:before="40" w:after="60"/>
        <w:ind w:left="283"/>
      </w:pPr>
      <w:r>
        <w:rPr>
          <w:rFonts w:ascii="Arial" w:hAnsi="Arial"/>
          <w:color w:val="404040"/>
          <w:sz w:val="21"/>
        </w:rPr>
        <w:t>La compañía dijo estar “en un estado de insolvencia irremontable si no logra reestructurar sus pasivos a largo plazo” bajo un plan de reorganización judicial.</w:t>
      </w:r>
    </w:p>
    <w:p>
      <w:pPr>
        <w:spacing w:before="40" w:after="60"/>
        <w:ind w:left="283"/>
      </w:pPr>
      <w:r>
        <w:rPr>
          <w:rFonts w:ascii="Arial" w:hAnsi="Arial"/>
          <w:color w:val="404040"/>
          <w:sz w:val="21"/>
        </w:rPr>
        <w:t>La alerta de la compañía figura en su solicitud de reorganización judicial, a la que tuvo acceso Diario Financiero.</w:t>
      </w:r>
    </w:p>
    <w:p>
      <w:pPr>
        <w:spacing w:before="40" w:after="60"/>
        <w:ind w:left="283"/>
      </w:pPr>
      <w:r>
        <w:rPr>
          <w:rFonts w:ascii="Arial" w:hAnsi="Arial"/>
          <w:color w:val="404040"/>
          <w:sz w:val="21"/>
        </w:rPr>
        <w:t>La reconocida frutícola chilena Exportadora BB Trading SpA -también conocida como Río King, ligada a la familia Barros- fue tajante:dijo estar “en un estado de insolvencia irremontable si no logra reestructurar sus pasivos a largo plazo” bajo un plan de reorganización judicial.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Tribunal Ambiental levanta parcialmente medida cautelar contra Quiborax y autoriza operación acotada en el Salar de Surire</w:t>
      </w:r>
    </w:p>
    <w:p>
      <w:pPr>
        <w:spacing w:before="40" w:after="60"/>
        <w:ind w:left="283"/>
      </w:pPr>
      <w:r>
        <w:rPr>
          <w:rFonts w:ascii="Arial" w:hAnsi="Arial"/>
          <w:color w:val="404040"/>
          <w:sz w:val="21"/>
        </w:rPr>
        <w:t>La medida permite a Quiborax retomar faenas limitadas bajo estrictas condiciones ambientales entre mayo y noviembre y con foco en zonas fuera de mayor sensibilidad del salar.</w:t>
      </w:r>
    </w:p>
    <w:p>
      <w:pPr>
        <w:spacing w:before="40" w:after="60"/>
        <w:ind w:left="283"/>
      </w:pPr>
      <w:r>
        <w:rPr>
          <w:rFonts w:ascii="Arial" w:hAnsi="Arial"/>
          <w:color w:val="404040"/>
          <w:sz w:val="21"/>
        </w:rPr>
        <w:t>El Primer Tribunal Ambiental resolvió alzar parcialmente la medida cautelar que mantenía paralizadas las operaciones de Quiboraxen el Salar de Surire, autorizando unareanudación acotada de actividadesen sectores específicos del yacimiento. En concreto, la decisión permite a la compañíaretomar operaciones en 12 polígonosdefinidos dentro del salar, mientras se mantiene la prohibición en áreas consideradas ambientalmente más sensibles. La medida se adopta en el marco del litigio en curso por eventuales impactos sobre el ecosistema del salar.</w:t>
      </w:r>
    </w:p>
    <w:p>
      <w:pPr>
        <w:spacing w:before="40" w:after="60"/>
        <w:ind w:left="283"/>
      </w:pPr>
      <w:r>
        <w:rPr>
          <w:rFonts w:ascii="Arial" w:hAnsi="Arial"/>
          <w:color w:val="404040"/>
          <w:sz w:val="21"/>
        </w:rPr>
        <w:t>La resolución autoriza la nivelación de áreas intervenidas durante 2024 y 2025, así como el retiro y transporte de ulexita acopiada en un sector situado fuera del Monumento Natural Salar de Surire, todo ello sujeto a las condiciones ambientales ya fijadas previamente por el tribunal.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Condenan a dueño de Maderas Jaime Venturelli a presidio menor en su grado mínimo, sustituido por libertad vigilada intensiva</w:t>
      </w:r>
    </w:p>
    <w:p>
      <w:pPr>
        <w:spacing w:before="40" w:after="60"/>
        <w:ind w:left="283"/>
      </w:pPr>
      <w:r>
        <w:rPr>
          <w:rFonts w:ascii="Arial" w:hAnsi="Arial"/>
          <w:color w:val="404040"/>
          <w:sz w:val="21"/>
        </w:rPr>
        <w:t>La justicia acreditó el vaciamiento patrimonial de la empresa a través de ventas ficticias y sobreendeudamiento planificado. BancoEstado, como acreedor, valoró el fallo como un precedente que delimita la insolvencia como mecanismo de elusión.</w:t>
      </w:r>
    </w:p>
    <w:p>
      <w:pPr>
        <w:spacing w:before="40" w:after="60"/>
        <w:ind w:left="283"/>
      </w:pPr>
      <w:r>
        <w:rPr>
          <w:rFonts w:ascii="Arial" w:hAnsi="Arial"/>
          <w:color w:val="404040"/>
          <w:sz w:val="21"/>
        </w:rPr>
        <w:t>A presidio menor en su grado mínimo por los delitos de provocación o agravación de la insolvencia, fue sentenciado el empresario madereroJaime Armando Venturelli González.La sanción impartida por el Tribunal de Juicio Oral en lo Penal de Temuco certifica el esquema dedefraudación superior a los $ 5 mil millones,tras la quiebra de Maderas Jaime Venturelli y Cía. Ltda., hecho que afectó a 500 trabajadores, al Fisco y a una decena de acreedores.</w:t>
      </w:r>
    </w:p>
    <w:p>
      <w:pPr>
        <w:spacing w:before="40" w:after="60"/>
        <w:ind w:left="283"/>
      </w:pPr>
      <w:r>
        <w:rPr>
          <w:rFonts w:ascii="Arial" w:hAnsi="Arial"/>
          <w:color w:val="404040"/>
          <w:sz w:val="21"/>
        </w:rPr>
        <w:t>El tribunal condenó también, y bajo la misma pena, aPablo Andrés Venturelli Gallegos,hijo del empresario temuquense, por sucooperación en la provocación o agravación de la insolvencia.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Cirugía mayor al sistema ambiental: más atribuciones al SEA y límites a la judicialización</w:t>
      </w:r>
    </w:p>
    <w:p>
      <w:pPr>
        <w:spacing w:before="40" w:after="60"/>
        <w:ind w:left="283"/>
      </w:pPr>
      <w:r>
        <w:rPr>
          <w:rFonts w:ascii="Arial" w:hAnsi="Arial"/>
          <w:color w:val="404040"/>
          <w:sz w:val="21"/>
        </w:rPr>
        <w:t>Iniciativa propone compensar a titulares si se invalidan RCA, acotar impugnaciones y reducir adendas, lo que abre críticas por eventuales restricciones al acceso a la justicia.</w:t>
      </w:r>
    </w:p>
    <w:p>
      <w:pPr>
        <w:spacing w:before="40" w:after="60"/>
        <w:ind w:left="283"/>
      </w:pPr>
      <w:r>
        <w:rPr>
          <w:rFonts w:ascii="Arial" w:hAnsi="Arial"/>
          <w:color w:val="404040"/>
          <w:sz w:val="21"/>
        </w:rPr>
        <w:t>Una serie de medidas pararacionalizar el procedimiento de evaluación ambiental y darle mayor agilidadinstaló sobre la mesa el gobierno enel proyecto de reactivación económica. Una de ellas es un mecanismo derestitución de gastos para titulares cuyas Resoluciones de Calificación Ambiental (RCA) sean anuladas judicialmente, el cual desató ronchas en las autoridades de la anterior administración.</w:t>
      </w:r>
    </w:p>
    <w:p>
      <w:pPr>
        <w:spacing w:before="40" w:after="60"/>
        <w:ind w:left="283"/>
      </w:pPr>
      <w:r>
        <w:rPr>
          <w:rFonts w:ascii="Arial" w:hAnsi="Arial"/>
          <w:color w:val="404040"/>
          <w:sz w:val="21"/>
        </w:rPr>
        <w:t>Según el mensaje, “este derecho solo aplica a gastos directos y efectivos en que se haya incurrido en virtud de la ejecución del proyecto y que conste en antecedentes contables y documentales fehacientes”.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Hallazgos arqueológicos: Consejo de Monumentos tendría plazos cortos e intervenciones menores no requerirán permiso</w:t>
      </w:r>
    </w:p>
    <w:p>
      <w:pPr>
        <w:spacing w:before="40" w:after="60"/>
        <w:ind w:left="283"/>
      </w:pPr>
      <w:r>
        <w:rPr>
          <w:rFonts w:ascii="Arial" w:hAnsi="Arial"/>
          <w:color w:val="404040"/>
          <w:sz w:val="21"/>
        </w:rPr>
        <w:t>Existen dudas acerca de las capacidades y recursos del servicio para cumplir los tiempos que propone la iniciativa legal.</w:t>
      </w:r>
    </w:p>
    <w:p>
      <w:pPr>
        <w:spacing w:before="40" w:after="60"/>
        <w:ind w:left="283"/>
      </w:pPr>
      <w:r>
        <w:rPr>
          <w:rFonts w:ascii="Arial" w:hAnsi="Arial"/>
          <w:color w:val="404040"/>
          <w:sz w:val="21"/>
        </w:rPr>
        <w:t>La reforma también se dirige directamente a un servicio que ha sido apuntado como el emblema de la “permisología”: el Consejo de Monumentos Nacionales (CMN).</w:t>
      </w:r>
    </w:p>
    <w:p>
      <w:pPr>
        <w:spacing w:before="40" w:after="60"/>
        <w:ind w:left="283"/>
      </w:pPr>
      <w:r>
        <w:rPr>
          <w:rFonts w:ascii="Arial" w:hAnsi="Arial"/>
          <w:color w:val="404040"/>
          <w:sz w:val="21"/>
        </w:rPr>
        <w:t>Eso se traduce en dos grandes cambios. El primero es la imposición de plazos fatales para esta institución, que ahora dispondrá de 20 días corridos para pronunciarse sobre un eventual hallazgo arqueológico en un proyecto y, si no hay respuesta, el interesado podrá continuar sus faenas.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Exención del IVA y cambios al DFL 2: las apuestas del gobierno para reactivar la industria de la construcción</w:t>
      </w:r>
    </w:p>
    <w:p>
      <w:pPr>
        <w:spacing w:before="40" w:after="60"/>
        <w:ind w:left="283"/>
      </w:pPr>
      <w:r>
        <w:rPr>
          <w:rFonts w:ascii="Arial" w:hAnsi="Arial"/>
          <w:color w:val="404040"/>
          <w:sz w:val="21"/>
        </w:rPr>
        <w:t>Como ya lo han señalado en reiteradas ocasiones, la crisis que atraviesa el sector de la construcción se ha instalado como una de las principales preocupaciones del Ejecutivo, al punto de quedar incorporada en el proyecto de ley de reactivación.</w:t>
      </w:r>
    </w:p>
    <w:p>
      <w:pPr>
        <w:spacing w:before="40" w:after="60"/>
        <w:ind w:left="283"/>
      </w:pPr>
      <w:r>
        <w:rPr>
          <w:rFonts w:ascii="Arial" w:hAnsi="Arial"/>
          <w:color w:val="404040"/>
          <w:sz w:val="21"/>
        </w:rPr>
        <w:t>En el documento, el gobierno advirtió que tanto el número de viviendas como la superficie autorizada para edificación han registrado una caída sostenida desde 2019, hasta alcanzar en 2025 su nivel más bajo desde 2008. Este deterioro, explicaron, ha tenido efectos significativos, entre ellos la pérdida de cerca de 180 mil empleos y la quiebra de múltiples empresas, en un contexto marcado por un déficit habitacional que ya supera las 800 mil viviendas.</w:t>
      </w:r>
    </w:p>
    <w:p>
      <w:pPr>
        <w:spacing w:before="40" w:after="60"/>
        <w:ind w:left="283"/>
      </w:pPr>
      <w:r>
        <w:rPr>
          <w:rFonts w:ascii="Arial" w:hAnsi="Arial"/>
          <w:color w:val="404040"/>
          <w:sz w:val="21"/>
        </w:rPr>
        <w:t>A partir de este diagnóstico, la iniciativa contempla dos medidas orientadas a reactivar el sector, con foco en ajustes al IVA de la vivienda y al régimen del DFL 2.</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CEO de Empresas Gasco admite alza de 10% en gas licuado por guerra en Medio Oriente y descarta desabastecimiento</w:t>
      </w:r>
    </w:p>
    <w:p>
      <w:pPr>
        <w:spacing w:before="40" w:after="60"/>
        <w:ind w:left="283"/>
      </w:pPr>
      <w:r>
        <w:rPr>
          <w:rFonts w:ascii="Arial" w:hAnsi="Arial"/>
          <w:color w:val="404040"/>
          <w:sz w:val="21"/>
        </w:rPr>
        <w:t>Cristián Aguirre asegura a DF que es muy difícil prever lo que sucederá, pero plantea algunos puntos en el análisis.</w:t>
      </w:r>
    </w:p>
    <w:p>
      <w:pPr>
        <w:spacing w:before="40" w:after="60"/>
        <w:ind w:left="283"/>
      </w:pPr>
      <w:r>
        <w:rPr>
          <w:rFonts w:ascii="Arial" w:hAnsi="Arial"/>
          <w:color w:val="404040"/>
          <w:sz w:val="21"/>
        </w:rPr>
        <w:t>Gerente general de Empresas Gasco, Cristián Aguirre.</w:t>
      </w:r>
    </w:p>
    <w:p>
      <w:pPr>
        <w:spacing w:before="40" w:after="60"/>
        <w:ind w:left="283"/>
      </w:pPr>
      <w:r>
        <w:rPr>
          <w:rFonts w:ascii="Arial" w:hAnsi="Arial"/>
          <w:color w:val="404040"/>
          <w:sz w:val="21"/>
        </w:rPr>
        <w:t>El sector energético local está bajo tensión por el conflicto en Medio Oriente. En medio del alza histórica de los combustibles, también se ha resentido el Gas Licuado de Petróleo (GLP), donde Gasco es el principal proveedor en Chile. “Tanto en los distintos formatos de cilindros como en gas granel el alza ha sido en promedio de un 10%”, reconoce a DF el gerente general de Empresas Gasco, Cristián Aguirre.</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Pequeñas relocalizaciones de salmoneras se eximirían de pasar por evaluación ambiental</w:t>
      </w:r>
    </w:p>
    <w:p>
      <w:pPr>
        <w:spacing w:before="40" w:after="60"/>
        <w:ind w:left="283"/>
      </w:pPr>
      <w:r>
        <w:rPr>
          <w:rFonts w:ascii="Arial" w:hAnsi="Arial"/>
          <w:color w:val="404040"/>
          <w:sz w:val="21"/>
        </w:rPr>
        <w:t>El megaproyecto del gobierno, tal como se había prometido, incluye un apartado destinado a medidas para impulsar la actividad acuícola.</w:t>
      </w:r>
    </w:p>
    <w:p>
      <w:pPr>
        <w:spacing w:before="40" w:after="60"/>
        <w:ind w:left="283"/>
      </w:pPr>
      <w:r>
        <w:rPr>
          <w:rFonts w:ascii="Arial" w:hAnsi="Arial"/>
          <w:color w:val="404040"/>
          <w:sz w:val="21"/>
        </w:rPr>
        <w:t>La megarreforma del gobierno de Kast también trajo los prometidos cambios para el sector acuícola. “Chile es el segundo productor de salmón del mundo. Sin embargo, en los últimos años hemos perdido participación debido a diversas problemáticas que enfrenta la industria”, enunció el Ejecutivo.</w:t>
      </w:r>
    </w:p>
    <w:p>
      <w:pPr>
        <w:spacing w:before="40" w:after="60"/>
        <w:ind w:left="283"/>
      </w:pPr>
      <w:r>
        <w:rPr>
          <w:rFonts w:ascii="Arial" w:hAnsi="Arial"/>
          <w:color w:val="404040"/>
          <w:sz w:val="21"/>
        </w:rPr>
        <w:t>Así, listó medidas que buscan recuperar la competitividad de la industria. El primer foco, como ya se había adelantado, está en destrabar las micro-relocalizaciones de concesiones acuícolas, es decir, trasladar una concesión ya otorgada a un sector cercano con condiciones más favorables.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Entel despide a Juan Hurtado Vicuña y vicepresidente lo destaca como “líder indiscutido” con “visión de largo plazo admirable”</w:t>
      </w:r>
    </w:p>
    <w:p>
      <w:pPr>
        <w:spacing w:before="40" w:after="60"/>
        <w:ind w:left="283"/>
      </w:pPr>
      <w:r>
        <w:rPr>
          <w:rFonts w:ascii="Arial" w:hAnsi="Arial"/>
          <w:color w:val="404040"/>
          <w:sz w:val="21"/>
        </w:rPr>
        <w:t>Directivo concluyó su período de más de tres décadas en la compañía. En su junta de accionistas, la telco también anunció inversiones por US$ 575 millones en los mercados de Chile y Perú.</w:t>
      </w:r>
    </w:p>
    <w:p>
      <w:pPr>
        <w:spacing w:before="40" w:after="60"/>
        <w:ind w:left="283"/>
      </w:pPr>
      <w:r>
        <w:rPr>
          <w:rFonts w:ascii="Arial" w:hAnsi="Arial"/>
          <w:color w:val="404040"/>
          <w:sz w:val="21"/>
        </w:rPr>
        <w:t>La voz cantante en la junta la llevó el vicepresidente Luis Felipe Gazitúa.</w:t>
      </w:r>
    </w:p>
    <w:p>
      <w:pPr>
        <w:spacing w:before="40" w:after="60"/>
        <w:ind w:left="283"/>
      </w:pPr>
      <w:r>
        <w:rPr>
          <w:rFonts w:ascii="Arial" w:hAnsi="Arial"/>
          <w:color w:val="404040"/>
          <w:sz w:val="21"/>
        </w:rPr>
        <w:t>Este miércoles secerró un capítulo en la historia de la empresa de telecomunicaciones Entel. Luego de más de tres décadas en su directorio, buena parte de ese tiempo presidiéndolo,Juan Hurtado Vicuña no se presentó como candidato a la mesa directiva de la compañía y, de paso, oficializó dar un paso al costado en el negocio. Esto, en el marco de su junta de accionistas 2026.</w:t>
      </w:r>
    </w:p>
    <w:p>
      <w:pPr>
        <w:pBdr>
          <w:bottom w:val="single" w:sz="4" w:space="1" w:color="BDD7EE"/>
        </w:pBdr>
        <w:spacing w:before="80" w:after="80"/>
      </w:pPr>
    </w:p>
    <w:p>
      <w:pPr>
        <w:pStyle w:val="Heading2"/>
        <w:spacing w:before="200" w:after="80"/>
      </w:pPr>
      <w:r>
        <w:rPr>
          <w:rFonts w:ascii="Arial" w:hAnsi="Arial"/>
          <w:b/>
          <w:color w:val="2E75B6"/>
          <w:sz w:val="22"/>
        </w:rPr>
        <w:t xml:space="preserve">11.  </w:t>
      </w:r>
      <w:r>
        <w:rPr>
          <w:rFonts w:ascii="Arial" w:hAnsi="Arial"/>
          <w:b/>
          <w:color w:val="1F4E79"/>
          <w:sz w:val="22"/>
        </w:rPr>
        <w:t>Isapres cierran 2025 con ganancias tras fuerte caída en el gasto por licencias médicas, pero mantienen déficit operacional</w:t>
      </w:r>
    </w:p>
    <w:p>
      <w:pPr>
        <w:spacing w:before="40" w:after="60"/>
        <w:ind w:left="283"/>
      </w:pPr>
      <w:r>
        <w:rPr>
          <w:rFonts w:ascii="Arial" w:hAnsi="Arial"/>
          <w:color w:val="404040"/>
          <w:sz w:val="21"/>
        </w:rPr>
        <w:t>Las utilidades por $ 15.361 millones del sistema se vieron impulsadas por ingresos no operacionales, mientras que la operación principal siguó en números rojos.</w:t>
      </w:r>
    </w:p>
    <w:p>
      <w:pPr>
        <w:spacing w:before="40" w:after="60"/>
        <w:ind w:left="283"/>
      </w:pPr>
      <w:r>
        <w:rPr>
          <w:rFonts w:ascii="Arial" w:hAnsi="Arial"/>
          <w:color w:val="404040"/>
          <w:sz w:val="21"/>
        </w:rPr>
        <w:t>El sistema Isapre cerró 2025 con utilidades por $15.361 millones, revirtiendo las pérdidas de $99.754 millones registradas en 2024. Sin embargo, según consignó la Superintendencia de Salud, de la mejora de los números "no se puede concluir que el sistema haya resuelto los problemas relacionados con su situación financiera estructural".</w:t>
      </w:r>
    </w:p>
    <w:p>
      <w:pPr>
        <w:spacing w:before="40" w:after="60"/>
        <w:ind w:left="283"/>
      </w:pPr>
      <w:r>
        <w:rPr>
          <w:rFonts w:ascii="Arial" w:hAnsi="Arial"/>
          <w:color w:val="404040"/>
          <w:sz w:val="21"/>
        </w:rPr>
        <w:t>Así, de acuerdo a lo explicado por el ente regulador y fiscalizador del sistema, en 2025 el resultado operacional del conjunto de las isapres -que mide cuánto ingresa por cotizaciones versus cuánto se gasta en pagar prestaciones médicas, licencias y gastos de administración y ventas-fue negativo en $ 24.593 millones, es decir: el sistema gastó más en su operación cotidiana de lo que recaudó por cotizaciones.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Diputado Pier Karlezi (PNL): “Para ganarse al PDG ceden en cosas que no tienen ni pies ni cabeza y el ministro de la Segpres cierra un acuerdo con ellos”</w:t>
      </w:r>
    </w:p>
    <w:p>
      <w:pPr>
        <w:spacing w:before="40" w:after="60"/>
        <w:ind w:left="283"/>
      </w:pPr>
      <w:r>
        <w:rPr>
          <w:rFonts w:ascii="Arial" w:hAnsi="Arial"/>
          <w:color w:val="404040"/>
          <w:sz w:val="21"/>
        </w:rPr>
        <w:t>Además, el legislador expresa su convicción de que si José García Ruminot “no tiene intención de hacer que las cosas pasen, es poco lo que se puede conversar con él”.</w:t>
      </w:r>
    </w:p>
    <w:p>
      <w:pPr>
        <w:spacing w:before="40" w:after="60"/>
        <w:ind w:left="283"/>
      </w:pPr>
      <w:r>
        <w:rPr>
          <w:rFonts w:ascii="Arial" w:hAnsi="Arial"/>
          <w:color w:val="404040"/>
          <w:sz w:val="21"/>
        </w:rPr>
        <w:t>Karlezi es el representante del Partido Nacional Libertario (PNL) en la Comisión de Hacienda. (Foto: Aton Chile)</w:t>
      </w:r>
    </w:p>
    <w:p>
      <w:pPr>
        <w:spacing w:before="40" w:after="60"/>
        <w:ind w:left="283"/>
      </w:pPr>
      <w:r>
        <w:rPr>
          <w:rFonts w:ascii="Arial" w:hAnsi="Arial"/>
          <w:color w:val="404040"/>
          <w:sz w:val="21"/>
        </w:rPr>
        <w:t>Eldiputado Pier Karlezi es el representante del Partido Nacional Libertario (PNL) en la Comisión de Hacienday quien ha levantado la voz por la molestia en invade a su bancada, ante el hecho de que el gobierno haya llegado a un acuerdo con el Partido de la Gente (PDG) para asegurar sus votos en la idea de legislar del proyecto misceláneo; pero no haya considerado las peticiones del PNL.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Operadores financieros no ven cambios en la tasa del Banco Central la próxima semana y ratifican expectativa de un alto IPC en abril</w:t>
      </w:r>
    </w:p>
    <w:p>
      <w:pPr>
        <w:spacing w:before="40" w:after="60"/>
        <w:ind w:left="283"/>
      </w:pPr>
      <w:r>
        <w:rPr>
          <w:rFonts w:ascii="Arial" w:hAnsi="Arial"/>
          <w:color w:val="404040"/>
          <w:sz w:val="21"/>
        </w:rPr>
        <w:t>La Encuesta a Operadores Financieros (EOF) indicó que los analistas siguen esperando que la inflación tenga una variación mensual de 1,6% este mes, pero que en mayo se modere con un alza de 0,3%.</w:t>
      </w:r>
    </w:p>
    <w:p>
      <w:pPr>
        <w:spacing w:before="40" w:after="60"/>
        <w:ind w:left="283"/>
      </w:pPr>
      <w:r>
        <w:rPr>
          <w:rFonts w:ascii="Arial" w:hAnsi="Arial"/>
          <w:color w:val="404040"/>
          <w:sz w:val="21"/>
        </w:rPr>
        <w:t>A la espera de la Reunión de Política Monetaria del Banco Central de la próxima semana,los analistas de mercado mantienen su expectativa de que no haya cambios en la tasa.</w:t>
      </w:r>
    </w:p>
    <w:p>
      <w:pPr>
        <w:spacing w:before="40" w:after="60"/>
        <w:ind w:left="283"/>
      </w:pPr>
      <w:r>
        <w:rPr>
          <w:rFonts w:ascii="Arial" w:hAnsi="Arial"/>
          <w:color w:val="404040"/>
          <w:sz w:val="21"/>
        </w:rPr>
        <w:t>De acuerdo a los resultados de la Encuesta de Operadores Financieros (EOF) del ente rector, publicada este jueves, la estimación del mercado es que la tasa de política monetaria (TPM) no tenga movimientos en la próxima reunión y se mantenga en su nivel 4,5%.</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China prohíbe las importaciones de aves de corral de Chile debido a la gripe aviar</w:t>
      </w:r>
    </w:p>
    <w:p>
      <w:pPr>
        <w:spacing w:before="40" w:after="60"/>
        <w:ind w:left="283"/>
      </w:pPr>
      <w:r>
        <w:rPr>
          <w:rFonts w:ascii="Arial" w:hAnsi="Arial"/>
          <w:color w:val="404040"/>
          <w:sz w:val="21"/>
        </w:rPr>
        <w:t>La prohibición, con efecto inmediato, afecta a todas las aves de corral y productos relacionados procedentes de Chile.</w:t>
      </w:r>
    </w:p>
    <w:p>
      <w:pPr>
        <w:spacing w:before="40" w:after="60"/>
        <w:ind w:left="283"/>
      </w:pPr>
      <w:r>
        <w:rPr>
          <w:rFonts w:ascii="Arial" w:hAnsi="Arial"/>
          <w:color w:val="404040"/>
          <w:sz w:val="21"/>
        </w:rPr>
        <w:t>La autoridad china justificó la medida alegando la necesidad de proteger su industria ganadera y la bioseguridad. (Foto: Bloomberg)</w:t>
      </w:r>
    </w:p>
    <w:p>
      <w:pPr>
        <w:spacing w:before="40" w:after="60"/>
        <w:ind w:left="283"/>
      </w:pPr>
      <w:r>
        <w:rPr>
          <w:rFonts w:ascii="Arial" w:hAnsi="Arial"/>
          <w:color w:val="404040"/>
          <w:sz w:val="21"/>
        </w:rPr>
        <w:t>China prohibió las importaciones de aves de corral procedentes de Chile debido a un reciente brote de gripe aviar en el país, dijo la autoridad aduanera china en un comunicado.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Kast pone la creación de empleo como prioridad uno al exponer los ejes del plan de reconstrucción</w:t>
      </w:r>
    </w:p>
    <w:p>
      <w:pPr>
        <w:spacing w:before="40" w:after="60"/>
        <w:ind w:left="283"/>
      </w:pPr>
      <w:r>
        <w:rPr>
          <w:rFonts w:ascii="Arial" w:hAnsi="Arial"/>
          <w:color w:val="404040"/>
          <w:sz w:val="21"/>
        </w:rPr>
        <w:t>El mandatario dijo que “las decisiones no son por el aplauso fácil, hay que hablar con la verdad y eso se había olvidado en Chile; y no rendirse a las encuestas”.</w:t>
      </w:r>
    </w:p>
    <w:p>
      <w:pPr>
        <w:spacing w:before="40" w:after="60"/>
        <w:ind w:left="283"/>
      </w:pPr>
      <w:r>
        <w:rPr>
          <w:rFonts w:ascii="Arial" w:hAnsi="Arial"/>
          <w:color w:val="404040"/>
          <w:sz w:val="21"/>
        </w:rPr>
        <w:t>Recargado llegó la mañana de este miércoles el Presidente José Antonio Kast a exponer al seminario de BTG Pactual Latam Focus 2026. Minutos antes había firmado, junto al ministros de Estado, el proyecto de ley para la reconstrucción nacional y el desarrollo económico y social.</w:t>
      </w:r>
    </w:p>
    <w:p>
      <w:pPr>
        <w:spacing w:before="40" w:after="60"/>
        <w:ind w:left="283"/>
      </w:pPr>
      <w:r>
        <w:rPr>
          <w:rFonts w:ascii="Arial" w:hAnsi="Arial"/>
          <w:color w:val="404040"/>
          <w:sz w:val="21"/>
        </w:rPr>
        <w:t>Ante un salón que congregó a unas 900 personas, el mandatario afirmó que la “prioridad uno es dar empleo y el resto es música como decía el expresidente Ricardo Lagos”.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Quiroz defiende proyecto, espera despacharlo en junio y la oposición plantea dudas del informe financiero</w:t>
      </w:r>
    </w:p>
    <w:p>
      <w:pPr>
        <w:spacing w:before="40" w:after="60"/>
        <w:ind w:left="283"/>
      </w:pPr>
      <w:r>
        <w:rPr>
          <w:rFonts w:ascii="Arial" w:hAnsi="Arial"/>
          <w:color w:val="404040"/>
          <w:sz w:val="21"/>
        </w:rPr>
        <w:t>En una extensa sesión, la comisión de Hacienda de la Cámara sometió a un intenso examen al ministro, quien a su vez desestimó cuestionamientos a la invariabilidad tributaria.</w:t>
      </w:r>
    </w:p>
    <w:p>
      <w:pPr>
        <w:spacing w:before="40" w:after="60"/>
        <w:ind w:left="283"/>
      </w:pPr>
      <w:r>
        <w:rPr>
          <w:rFonts w:ascii="Arial" w:hAnsi="Arial"/>
          <w:color w:val="404040"/>
          <w:sz w:val="21"/>
        </w:rPr>
        <w:t>El ministro de Hacienda, Jorge Quiroz, llegó a la comisión de Hacienda junto a todo su equipo de asesores. Foto: Aton.</w:t>
      </w:r>
    </w:p>
    <w:p>
      <w:pPr>
        <w:spacing w:before="40" w:after="60"/>
        <w:ind w:left="283"/>
      </w:pPr>
      <w:r>
        <w:rPr>
          <w:rFonts w:ascii="Arial" w:hAnsi="Arial"/>
          <w:color w:val="404040"/>
          <w:sz w:val="21"/>
        </w:rPr>
        <w:t>Por tres horas y media se extendió la sesión de la comisión de Hacienda de la Cámara de Diputados, en la cual este miércoles se inició la discusión del proyecto de ley de reconstrucción y reactivación del gobierno. El debate, en el cual expuso el ministro de Hacienda, Jorge Quiroz, estuvo marcado por algunas tensiones entre parlamentarios de gobierno y oposición.</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Cálculos sin recorte de gasto: recién en 2035 mayor PIB compensaría menores ingresos por baja de impuestos que impulsa el gobierno</w:t>
      </w:r>
    </w:p>
    <w:p>
      <w:pPr>
        <w:spacing w:before="40" w:after="60"/>
        <w:ind w:left="283"/>
      </w:pPr>
      <w:r>
        <w:rPr>
          <w:rFonts w:ascii="Arial" w:hAnsi="Arial"/>
          <w:color w:val="404040"/>
          <w:sz w:val="21"/>
        </w:rPr>
        <w:t>El informe financiero de la iniciativa establece que el 2035 las medidas pro actividad e inversión recaudarán más que la pérdida de ingresos tributarios. El director de Dipres explicó que ya se han recortado US$ 1.762 millones en lo que va del año.</w:t>
      </w:r>
    </w:p>
    <w:p>
      <w:pPr>
        <w:spacing w:before="40" w:after="60"/>
        <w:ind w:left="283"/>
      </w:pPr>
      <w:r>
        <w:rPr>
          <w:rFonts w:ascii="Arial" w:hAnsi="Arial"/>
          <w:color w:val="404040"/>
          <w:sz w:val="21"/>
        </w:rPr>
        <w:t>“El texto fue firmado por el Presidente Kast en una ceremonia en La Moneda a las 7:30 de la mañana de este miércoles”</w:t>
      </w:r>
    </w:p>
    <w:p>
      <w:pPr>
        <w:spacing w:before="40" w:after="60"/>
        <w:ind w:left="283"/>
      </w:pPr>
      <w:r>
        <w:rPr>
          <w:rFonts w:ascii="Arial" w:hAnsi="Arial"/>
          <w:color w:val="404040"/>
          <w:sz w:val="21"/>
        </w:rPr>
        <w:t>Los ejes principales delproyecto de reactivación y reconstrucción nacionaleran conocidos antes de que este miércolesel Presidente José Antonio Kast lo firmaray despachara al Congreso.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Primera foto a efecto de medidas: mejor clima de inversión en el corto plazo y alza en cifras hacia fines de la década</w:t>
      </w:r>
    </w:p>
    <w:p>
      <w:pPr>
        <w:spacing w:before="40" w:after="60"/>
        <w:ind w:left="283"/>
      </w:pPr>
      <w:r>
        <w:rPr>
          <w:rFonts w:ascii="Arial" w:hAnsi="Arial"/>
          <w:color w:val="404040"/>
          <w:sz w:val="21"/>
        </w:rPr>
        <w:t>Economistas estiman que iniciativas como la invariabilidad tributaria y reducción de tiempos en permisos sectoriales podrían mejorar la confianza empresarial.</w:t>
      </w:r>
    </w:p>
    <w:p>
      <w:pPr>
        <w:spacing w:before="40" w:after="60"/>
        <w:ind w:left="283"/>
      </w:pPr>
      <w:r>
        <w:rPr>
          <w:rFonts w:ascii="Arial" w:hAnsi="Arial"/>
          <w:color w:val="404040"/>
          <w:sz w:val="21"/>
        </w:rPr>
        <w:t>Un efecto positivo esperan los analistas de las medidas para incentivar la inversión que incluyó el proyecto de ley misceláneo de reconstrucción y reactivación económica que envió el gobierno al Congreso este miércoles. Sin embargo, no se trataría de un impacto del todo inmediato.</w:t>
      </w:r>
    </w:p>
    <w:p>
      <w:pPr>
        <w:spacing w:before="40" w:after="60"/>
        <w:ind w:left="283"/>
      </w:pPr>
      <w:r>
        <w:rPr>
          <w:rFonts w:ascii="Arial" w:hAnsi="Arial"/>
          <w:color w:val="404040"/>
          <w:sz w:val="21"/>
        </w:rPr>
        <w:t>La mirada favorable se sustentó en la confirmación de iniciativas que ya se habían anunciado por parte de las autoridades, como reducción del impuesto corporativo desde 27% a 23%, una disminución en los tiempos de tramitación de los permisos sectoriales y la reintegración del sistema tributario.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Gobierno abre debate por crédito tributario al empleo y apuesta por cambios en licencias en el sector público</w:t>
      </w:r>
    </w:p>
    <w:p>
      <w:pPr>
        <w:spacing w:before="40" w:after="60"/>
        <w:ind w:left="283"/>
      </w:pPr>
      <w:r>
        <w:rPr>
          <w:rFonts w:ascii="Arial" w:hAnsi="Arial"/>
          <w:color w:val="404040"/>
          <w:sz w:val="21"/>
        </w:rPr>
        <w:t>Para los expertos la medida tendrá un acotado efecto. Sobre la franquicia, piden avanzar en una nueva herramienta.</w:t>
      </w:r>
    </w:p>
    <w:p>
      <w:pPr>
        <w:spacing w:before="40" w:after="60"/>
        <w:ind w:left="283"/>
      </w:pPr>
      <w:r>
        <w:rPr>
          <w:rFonts w:ascii="Arial" w:hAnsi="Arial"/>
          <w:color w:val="404040"/>
          <w:sz w:val="21"/>
        </w:rPr>
        <w:t>Una serie de medidas relacionadas con el ámbito laboral incluyó el proyecto de reconstrucción que el Ejecutivo envió este miércoles al Congreso. Al anuncio de crédito tributario para el empleo y la eliminación de la franquicia tributaria Sence, sumó sanciones a los funcionarios públicos que hagan mal uso de las licencias médicas y una ampliación del incentivo al retiro.</w:t>
      </w:r>
    </w:p>
    <w:p>
      <w:pPr>
        <w:spacing w:before="40" w:after="60"/>
        <w:ind w:left="283"/>
      </w:pPr>
      <w:r>
        <w:rPr>
          <w:rFonts w:ascii="Arial" w:hAnsi="Arial"/>
          <w:color w:val="404040"/>
          <w:sz w:val="21"/>
        </w:rPr>
        <w:t>La primera, detalla el texto de la iniciativa, beneficiaría “principalmente a las PYME” y apunta a proteger “la estabilidad del empleo formal frente al aumento del costo de contratación, evitando que las empresas despidan personas por no tener la capacidad de pagar sus sueldos”.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Mercosur discutirá la reintegración de Venezuela al bloque económico</w:t>
      </w:r>
    </w:p>
    <w:p>
      <w:pPr>
        <w:spacing w:before="40" w:after="60"/>
        <w:ind w:left="283"/>
      </w:pPr>
      <w:r>
        <w:rPr>
          <w:rFonts w:ascii="Arial" w:hAnsi="Arial"/>
          <w:color w:val="404040"/>
          <w:sz w:val="21"/>
        </w:rPr>
        <w:t>La evaluación se da en paralelo a los intentos de Colombia por incorporarse como miembro de la instancia multilateral.</w:t>
      </w:r>
    </w:p>
    <w:p>
      <w:pPr>
        <w:spacing w:before="40" w:after="60"/>
        <w:ind w:left="283"/>
      </w:pPr>
      <w:r>
        <w:rPr>
          <w:rFonts w:ascii="Arial" w:hAnsi="Arial"/>
          <w:color w:val="404040"/>
          <w:sz w:val="21"/>
        </w:rPr>
        <w:t>Mercosur se prepara para debatir el posible regreso de Venezuela al bloque sudamericano, una señal del acercamiento regional hacia Caracas tras la salida de Nicolás Maduro del poder este año.</w:t>
      </w:r>
    </w:p>
    <w:p>
      <w:pPr>
        <w:spacing w:before="40" w:after="60"/>
        <w:ind w:left="283"/>
      </w:pPr>
      <w:r>
        <w:rPr>
          <w:rFonts w:ascii="Arial" w:hAnsi="Arial"/>
          <w:color w:val="404040"/>
          <w:sz w:val="21"/>
        </w:rPr>
        <w:t>El vicepresidente de Brasil, Geraldo Alckmin, dijo queel grupo podría revisar la suspensión de Venezuela, ya que el país atraviesa un “momento diferente”. Esto sugiere un cambio en la dinámica regional tras años de aislamiento. “Venezuela se incorporó al Mercosur, fue suspendida y, al entrar en un momento distinto, eso será rediscutido”, señaló Alckmin a periodistas en Brasilia.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Real Plaza anuncia la construcción de un nuevo centro comercial en la ciudad peruana de Trujillo</w:t>
      </w:r>
    </w:p>
    <w:p>
      <w:pPr>
        <w:spacing w:before="40" w:after="60"/>
        <w:ind w:left="283"/>
      </w:pPr>
      <w:r>
        <w:rPr>
          <w:rFonts w:ascii="Arial" w:hAnsi="Arial"/>
          <w:color w:val="404040"/>
          <w:sz w:val="21"/>
        </w:rPr>
        <w:t>El proyecto contará con más de 83.000 metros cuadrados de área comercial, lo que representa un incremento de aproximadamente 57% frente al espacio que ocupaba el complejo anterior.</w:t>
      </w:r>
    </w:p>
    <w:p>
      <w:pPr>
        <w:spacing w:before="40" w:after="60"/>
        <w:ind w:left="283"/>
      </w:pPr>
      <w:r>
        <w:rPr>
          <w:rFonts w:ascii="Arial" w:hAnsi="Arial"/>
          <w:color w:val="404040"/>
          <w:sz w:val="21"/>
        </w:rPr>
        <w:t>La cadena decentros comerciales peruana Real Plaza,perteneciente al Grupo Intercorp,anunció la construcción de un nuevo mall en la ciudad de Trujillo a partir de una inversión por 500 millones de soles peruanos(US$ 146 millones), considerada como una de las más grandes realizadas por la firma en la nación andina.</w:t>
      </w:r>
    </w:p>
    <w:p>
      <w:pPr>
        <w:spacing w:before="40" w:after="60"/>
        <w:ind w:left="283"/>
      </w:pPr>
      <w:r>
        <w:rPr>
          <w:rFonts w:ascii="Arial" w:hAnsi="Arial"/>
          <w:color w:val="404040"/>
          <w:sz w:val="21"/>
        </w:rPr>
        <w:t>Según informó la empresa a través de un comunicado,el nuevo centro comercial contará con más de 83.000 metros cuadrados de área comercial,lo que representa un incremento de aproximadamente 57% frente al espacio que ocupaba el complejo anterior.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embajador Brandon Judd felicita a su par Andrés Ergas por su designación en Washington: "Estoy listo para que su gestión sea exitosa"</w:t>
      </w:r>
    </w:p>
    <w:p>
      <w:pPr>
        <w:spacing w:before="40" w:after="60"/>
        <w:ind w:left="283"/>
      </w:pPr>
      <w:r>
        <w:rPr>
          <w:rFonts w:ascii="Arial" w:hAnsi="Arial"/>
          <w:color w:val="404040"/>
          <w:sz w:val="21"/>
        </w:rPr>
        <w:t>Judd expresó sus buenos deseos a Ergas en una publicación en sus redes sociales.</w:t>
      </w:r>
    </w:p>
    <w:p>
      <w:pPr>
        <w:spacing w:before="40" w:after="60"/>
        <w:ind w:left="283"/>
      </w:pPr>
      <w:r>
        <w:rPr>
          <w:rFonts w:ascii="Arial" w:hAnsi="Arial"/>
          <w:color w:val="404040"/>
          <w:sz w:val="21"/>
        </w:rPr>
        <w:t>El actualembajador de los Estados Unidos, Brandon Judd,publicó este jueves en su cuenta oficial de X susfelicitaciones a Andrés Ergas, quien será el nuevo embajador de Chile en Washington, y expresó su disposición a apoyar su llegada a Washington.</w:t>
      </w:r>
    </w:p>
    <w:p>
      <w:pPr>
        <w:spacing w:before="40" w:after="60"/>
        <w:ind w:left="283"/>
      </w:pPr>
      <w:r>
        <w:rPr>
          <w:rFonts w:ascii="Arial" w:hAnsi="Arial"/>
          <w:color w:val="404040"/>
          <w:sz w:val="21"/>
        </w:rPr>
        <w:t>“Estoy listo para hacer todo lo que esté a mi alcance para que su gestión en Washington sea exitosa”, señaló Judd en la publicación. “Trabajemos juntos, a ambos lados de la línea del Ecuador, para mantener sólida esta relación por otros 200 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Trump ordena disparar y matar a cualquier embarcación que intente poner minas en Ormuz</w:t>
      </w:r>
    </w:p>
    <w:p>
      <w:pPr>
        <w:spacing w:before="40" w:after="60"/>
        <w:ind w:left="283"/>
      </w:pPr>
      <w:r>
        <w:rPr>
          <w:rFonts w:ascii="Arial" w:hAnsi="Arial"/>
          <w:color w:val="404040"/>
          <w:sz w:val="21"/>
        </w:rPr>
        <w:t>Además de la advertencia a las lanchas iraníes, el mandatario informó que triplicará la actividad de “barreminas” en la zona. El petróleo sube en torno 1% con el Brent operando en US$ 102,6.</w:t>
      </w:r>
    </w:p>
    <w:p>
      <w:pPr>
        <w:spacing w:before="40" w:after="60"/>
        <w:ind w:left="283"/>
      </w:pPr>
      <w:r>
        <w:rPr>
          <w:rFonts w:ascii="Arial" w:hAnsi="Arial"/>
          <w:color w:val="404040"/>
          <w:sz w:val="21"/>
        </w:rPr>
        <w:t>Las tensiones continúan escalando en el estrecho de Ormuz, a pesar de la tregua indefinida vigente entre Estados Unidos e Irán. La mañana de este jueves, el Presidente de Estados Unidos, Donald Trump, elevó el tono de sus amenazas, luego de que Irán atacara a tres buques en la jornada del miércoles.</w:t>
      </w:r>
    </w:p>
    <w:p>
      <w:pPr>
        <w:spacing w:before="40" w:after="60"/>
        <w:ind w:left="283"/>
      </w:pPr>
      <w:r>
        <w:rPr>
          <w:rFonts w:ascii="Arial" w:hAnsi="Arial"/>
          <w:color w:val="404040"/>
          <w:sz w:val="21"/>
        </w:rPr>
        <w:t>“He ordenado a la Armada de Estados Unidos que dispare y mate a cualquier embarcación, por pequeñas que sean (¡sus buques navales están TODOS, los 159, en el fondo del mar!), que esté colocando minas en las aguas del estrecho de Ormuz. No debe haber vacilación",escribió el mandatario en Truth Social, en un advertencia dirigida, principalmente, a las lanchas que circulan en torno a la vía marítima.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Tesla aumenta su plan de inversión a US$ 25 mil millones en 2026 para impulsar la IA y la robótica</w:t>
      </w:r>
    </w:p>
    <w:p>
      <w:pPr>
        <w:spacing w:before="40" w:after="60"/>
        <w:ind w:left="283"/>
      </w:pPr>
      <w:r>
        <w:rPr>
          <w:rFonts w:ascii="Arial" w:hAnsi="Arial"/>
          <w:color w:val="404040"/>
          <w:sz w:val="21"/>
        </w:rPr>
        <w:t>Tesla anticipa miles de millones de dólares en gasto adicional este año para respaldar</w:t>
      </w:r>
    </w:p>
    <w:p>
      <w:pPr>
        <w:spacing w:before="40" w:after="60"/>
        <w:ind w:left="283"/>
      </w:pPr>
      <w:r>
        <w:rPr>
          <w:rFonts w:ascii="Arial" w:hAnsi="Arial"/>
          <w:color w:val="404040"/>
          <w:sz w:val="21"/>
        </w:rPr>
        <w:t>las ambiciones de Elon Musk de transformar al pionero de vehículos eléctricos en una empresa de inteligencia artificial y robótica.</w:t>
      </w:r>
    </w:p>
    <w:p>
      <w:pPr>
        <w:spacing w:before="40" w:after="60"/>
        <w:ind w:left="283"/>
      </w:pPr>
      <w:r>
        <w:rPr>
          <w:rFonts w:ascii="Arial" w:hAnsi="Arial"/>
          <w:color w:val="404040"/>
          <w:sz w:val="21"/>
        </w:rPr>
        <w:t>El gasto de capital en 2026 superará los US$ 25 mil millones, reveló la compañía junto con sus resultados el miércoles, aproximadamente tres veces el desembolso del año pasado.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Crisis en el Pentágono: destituyen al secretario de la Marina estadounidense en medio del bloqueo a Irán</w:t>
      </w:r>
    </w:p>
    <w:p>
      <w:pPr>
        <w:spacing w:before="40" w:after="60"/>
        <w:ind w:left="283"/>
      </w:pPr>
      <w:r>
        <w:rPr>
          <w:rFonts w:ascii="Arial" w:hAnsi="Arial"/>
          <w:color w:val="404040"/>
          <w:sz w:val="21"/>
        </w:rPr>
        <w:t>John Phelan fue apartado del cargo tras un enfrentamiento con el secretario de Defensa, Pete Hegseth.</w:t>
      </w:r>
    </w:p>
    <w:p>
      <w:pPr>
        <w:spacing w:before="40" w:after="60"/>
        <w:ind w:left="283"/>
      </w:pPr>
      <w:r>
        <w:rPr>
          <w:rFonts w:ascii="Arial" w:hAnsi="Arial"/>
          <w:color w:val="404040"/>
          <w:sz w:val="21"/>
        </w:rPr>
        <w:t>John Phelan es un financiero y donante político radicado en Palm Beach, Florida. (Foto: Reuters)</w:t>
      </w:r>
    </w:p>
    <w:p>
      <w:pPr>
        <w:spacing w:before="40" w:after="60"/>
        <w:ind w:left="283"/>
      </w:pPr>
      <w:r>
        <w:rPr>
          <w:rFonts w:ascii="Arial" w:hAnsi="Arial"/>
          <w:color w:val="404040"/>
          <w:sz w:val="21"/>
        </w:rPr>
        <w:t>El secretario de la Marina estadounidense, John Phelan, fue destituido el miércoles en medio de la crisis de liderazgo que sacude al Pentágono,inmerso en el bloqueo del estrecho de Ormuz y la guerra contra Irán.</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La ONU advierte que los efectos de la guerra en Medio Oriente empujarán de nuevo a la pobreza a más de 30 millones de personas</w:t>
      </w:r>
    </w:p>
    <w:p>
      <w:pPr>
        <w:spacing w:before="40" w:after="60"/>
        <w:ind w:left="283"/>
      </w:pPr>
      <w:r>
        <w:rPr>
          <w:rFonts w:ascii="Arial" w:hAnsi="Arial"/>
          <w:color w:val="404040"/>
          <w:sz w:val="21"/>
        </w:rPr>
        <w:t>La escasez de fertilizantes —agravada por el bloqueo de los buques de carga en el estrecho de Ormuz— ya ha reducido la productividad agrícola.</w:t>
      </w:r>
    </w:p>
    <w:p>
      <w:pPr>
        <w:spacing w:before="40" w:after="60"/>
        <w:ind w:left="283"/>
      </w:pPr>
      <w:r>
        <w:rPr>
          <w:rFonts w:ascii="Arial" w:hAnsi="Arial"/>
          <w:color w:val="404040"/>
          <w:sz w:val="21"/>
        </w:rPr>
        <w:t>La escasez de fertilizantes y el bloqueo de Ormuz probablemente afectará al rendimiento de las cosechas a finales de este año. (Foto: Reuters)</w:t>
      </w:r>
    </w:p>
    <w:p>
      <w:pPr>
        <w:spacing w:before="40" w:after="60"/>
        <w:ind w:left="283"/>
      </w:pPr>
      <w:r>
        <w:rPr>
          <w:rFonts w:ascii="Arial" w:hAnsi="Arial"/>
          <w:color w:val="404040"/>
          <w:sz w:val="21"/>
        </w:rPr>
        <w:t>Más de 30 millones de personas volverán a caer en la pobreza debido a las repercusiones de la guerra en Medio Oriente, entre ellas las interrupciones en el suministro de combustible y fertilizantes justo cuando los agricultores están sembrando, dijo el jueves el responsable de desarrollo de la ONU, Alexander De Croo.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Irán confisca barcos en Ormuz tras la extensión de la tregua</w:t>
      </w:r>
    </w:p>
    <w:p>
      <w:pPr>
        <w:spacing w:before="40" w:after="60"/>
        <w:ind w:left="283"/>
      </w:pPr>
      <w:r>
        <w:rPr>
          <w:rFonts w:ascii="Arial" w:hAnsi="Arial"/>
          <w:color w:val="404040"/>
          <w:sz w:val="21"/>
        </w:rPr>
        <w:t>Irán capturó dos barcos en el estrecho de Ormuz el miércoles, reforzando su control sobre esta vía marítima después de que el Presidente de Estados Unidos, Donald Trump, extendiera indefinidamente la tregua sin que hubiera señales de que se reanudaran las conversaciones de paz.</w:t>
      </w:r>
    </w:p>
    <w:p>
      <w:pPr>
        <w:spacing w:before="40" w:after="60"/>
        <w:ind w:left="283"/>
      </w:pPr>
      <w:r>
        <w:rPr>
          <w:rFonts w:ascii="Arial" w:hAnsi="Arial"/>
          <w:color w:val="404040"/>
          <w:sz w:val="21"/>
        </w:rPr>
        <w:t>Washington mantuvo el bloqueo naval estadounidense al comercio marítimo de Irán, y el presidente del Parlamento iraní y principal negociador, Mohammad Baqer Qalibaf, afirmó que un alto el fuego total solo tendría sentido si se levantara el bloqueo. Reabrir el estrecho era imposible con una “violación tan flagrante del alto el fuego”, declaró Qalibaf en una publicación en X.</w:t>
      </w:r>
    </w:p>
    <w:p>
      <w:pPr>
        <w:spacing w:before="40" w:after="60"/>
        <w:ind w:left="283"/>
      </w:pPr>
      <w:r>
        <w:rPr>
          <w:rFonts w:ascii="Arial" w:hAnsi="Arial"/>
          <w:color w:val="404040"/>
          <w:sz w:val="21"/>
        </w:rPr>
        <w:t>“Ustedes no lograron sus objetivos mediante la agresión militar, ni los lograrán mediante la intimidación. La única vía es el reconocimiento de los derechos del pueblo iraní”, declaró en su primera respuesta a la prórroga del alto el fuego de Trump.</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Expertos y ANP alertan que artículo que suma una excepción a la Ley de Propiedad Intelectual afectará los derechos de autor de la prensa</w:t>
      </w:r>
    </w:p>
    <w:p>
      <w:pPr>
        <w:spacing w:before="40" w:after="60"/>
        <w:ind w:left="283"/>
      </w:pPr>
      <w:r>
        <w:rPr>
          <w:rFonts w:ascii="Arial" w:hAnsi="Arial"/>
          <w:color w:val="404040"/>
          <w:sz w:val="21"/>
        </w:rPr>
        <w:t>El artículo 8° permitirá que terceros usen grandes volúmenes de datos -texto, sonido e imagen- sin pagar derechos de autor, siempre y cuando la actividad “no sea una explotación encubierta de las obras protegidas”.</w:t>
      </w:r>
    </w:p>
    <w:p>
      <w:pPr>
        <w:spacing w:before="40" w:after="60"/>
        <w:ind w:left="283"/>
      </w:pPr>
      <w:r>
        <w:rPr>
          <w:rFonts w:ascii="Arial" w:hAnsi="Arial"/>
          <w:color w:val="404040"/>
          <w:sz w:val="21"/>
        </w:rPr>
        <w:t>La ley de Reconstrucción Nacional incorporó un artículo de IA que permitiría usar obras periodísticas sin pagar derechos.</w:t>
      </w:r>
    </w:p>
    <w:p>
      <w:pPr>
        <w:spacing w:before="40" w:after="60"/>
        <w:ind w:left="283"/>
      </w:pPr>
      <w:r>
        <w:rPr>
          <w:rFonts w:ascii="Arial" w:hAnsi="Arial"/>
          <w:color w:val="404040"/>
          <w:sz w:val="21"/>
        </w:rPr>
        <w:t>El proyecto deLey de Reconstrucción Nacional y el Desarrollo Económico Social, sorprendió al proponer la incorporación de un nuevo artículo a laLey de Propiedad Intelectual. Se trata de una excepción que permitirá a tercerosusar grandes volúmenes de datos -texto, sonido o imagen- sin pagar derechos de autor o licenciamiento,siempre que dicha actividad no sea una “explotación encubierta de las obras protegidas”.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Reconstrucción y crecimiento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Menos burocracia para la PYME</w:t>
      </w:r>
    </w:p>
    <w:p>
      <w:pPr>
        <w:spacing w:before="40" w:after="60"/>
        <w:ind w:left="283"/>
      </w:pPr>
      <w:r>
        <w:rPr>
          <w:rFonts w:ascii="Arial" w:hAnsi="Arial"/>
          <w:color w:val="404040"/>
          <w:sz w:val="21"/>
        </w:rPr>
        <w:t>Las primeras medidas anunciadas por el Gobierno han puesto énfasis en reactivar la economía, simplificar procesos y destrabar la inversión. Para las PYME, esta agenda abre una expectativa legítima, respecto de que esta vez el alivio no se mida solo en cifras macroeconómicas, sino que sea una reducción real de la carga burocrática que hoy frena su desarrollo.En Chile, miles de PYME destinan tiempo y recursos excesivos a cumplir trámites, permisos, declaraciones y procesos administrativos que, lejos de facilitar el crecimiento, lo ralentizan.Si las medidas apuntan efectivamente a simplificar la relación entre Estado y empresas, el impacto puede ser más transformador que cualquier incentivo aislado. Reducir tiempos de espera, digitalizar procesos y eliminar duplicidades regulatorias puede marcar una diferencia concreta en productividad y competitividad. El desafío está en que esa simplificación no quede solo en reformas que beneficien a grandes actores con mayor capacidad de adaptación.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Legislar con altura de miras</w:t>
      </w:r>
    </w:p>
    <w:p>
      <w:pPr>
        <w:spacing w:before="40" w:after="60"/>
        <w:ind w:left="283"/>
      </w:pPr>
      <w:r>
        <w:rPr>
          <w:rFonts w:ascii="Arial" w:hAnsi="Arial"/>
          <w:color w:val="404040"/>
          <w:sz w:val="21"/>
        </w:rPr>
        <w:t>Hoy, el país está detenido. Y esto es el resultado de malas políticas públicas de los últimos 15 años. Cuando un problema es tan grande, se necesitan medidas fuertes y rápidas. Eso es lo que busca el proyecto para la Reconstrucción y el Desarrollo Económico presentado por el gobierno. La iniciativa reúne muchas propuestas para que Chile vuelva a ser un buen lugar fértil para invertir y crecer. Esperemos que los políticos, sobre todo los de la oposición, la respalden. Y que cuando inicien el debate, que lo hagan con altura de miras, pensando en el bien del país y de cada proyecto que se quiere impulsar.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Cobrar bien es clave</w:t>
      </w:r>
    </w:p>
    <w:p>
      <w:pPr>
        <w:spacing w:before="40" w:after="60"/>
        <w:ind w:left="283"/>
      </w:pPr>
      <w:r>
        <w:rPr>
          <w:rFonts w:ascii="Arial" w:hAnsi="Arial"/>
          <w:color w:val="404040"/>
          <w:sz w:val="21"/>
        </w:rPr>
        <w:t>En el contexto del proyecto de reconstrucción anunciado por el gobierno y su impacto en las PYME, se vuelve aún más evidente la importancia de asegurar condiciones que resguarden su liquidez y sostenibilidad en el tiempo.El debate sobre financiamiento empresarial suele centrarse en el acceso al crédito, pero hay un factor igual de determinante y menos visible: la capacidad de cobrar a tiempo. Para las PYME la liquidez no es teórica, es supervivencia.Si bien la Ley de Pago a 30 Días fijó un estándar relevante, su aplicación sigue siendo desigual. En la práctica, los plazos se extienden y la cultura de pago aún no se alinea completamente con la normativa.En ese contexto, el reciente anuncio del Ministerio de Economía para fortalecer esta normativa y generar alivio tributario para las pequeñas y medianas empresas refuerza una señal positiva, al avanzar hacia una cultura de pago oportuno que permita sostener la liquidez empresarial.Más allá del marco legal, la diferencia está en la gestión, porque cuando la cobranza deja de ser administrativa y pasa a ser estratégica permite anticipar riesgos, ordenar procesos y sostener el flujo de caja.La liquidez no se juega solo en vender, sino en cerrar el ciclo y, en esto, cobrar bien es una verdadera ventaja competitiva.</w:t>
      </w:r>
    </w:p>
    <w:p>
      <w:pPr>
        <w:spacing w:before="40" w:after="60"/>
        <w:ind w:left="283"/>
      </w:pPr>
      <w:r>
        <w:rPr>
          <w:rFonts w:ascii="Arial" w:hAnsi="Arial"/>
          <w:color w:val="404040"/>
          <w:sz w:val="21"/>
        </w:rPr>
        <w:t>Rafael Vial ValenzuelaAbogado, presidente directorio Vision Capital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Colaboración contra el crimen organizado</w:t>
      </w:r>
    </w:p>
    <w:p>
      <w:pPr>
        <w:spacing w:before="40" w:after="60"/>
        <w:ind w:left="283"/>
      </w:pPr>
      <w:r>
        <w:rPr>
          <w:rFonts w:ascii="Arial" w:hAnsi="Arial"/>
          <w:color w:val="404040"/>
          <w:sz w:val="21"/>
        </w:rPr>
        <w:t>Hace algunos días en el DF, el presidente de la Cámara de Diputadas y Diputados, Jorge Alessandri, se refirió al contrabando, una de las más importantes expresiones del crimen organizado en nuestro país. Se trata de un problema que no es nuevo e implica importantes ganancias para la actividad criminal, así como también una cuantiosa evasión del pago de impuestos, en un escenario nacional que presenta un importante déficit fiscal, y, al mismo tiempo, numerosas necesidades que atender por parte del Estado.En este escenario, es nuestro deber como diputados contribuir de manera decidida con nuestro apoyo al combate del crimen organizado, siendo una de las vías principales el resguardo de nuestras fronteras, carreteras, puertos aéreos y terrestres.El presidente de la Cámara se comprometió a trabajar para reforzar la labor de las instituciones y organismos que abordan diversas aristas de esa misión crecientemente relevante, por medio de medidas legislativas e instancias de coordinación. En mi calidad de diputado de la República me sumo a esta iniciativa y al necesario apoyo que esto implica a las capacidades humanas, tecnológicas y de infraestructura de Carabineros, PDI, Aduanas, Ministerio Público, SII, DGAC, SAG y unidades de las Fuerzas Armadas involucradas. Pongo a disposición mi experiencia en estos temas para fortalecer el sistema de seguridad pública del país y con ello el combate a la actividad delictual. Los chilenos cuentan con nuestro compromiso para poder vivir seguros y tranquilos.</w:t>
      </w:r>
    </w:p>
    <w:p>
      <w:pPr>
        <w:spacing w:before="40" w:after="60"/>
        <w:ind w:left="283"/>
      </w:pPr>
      <w:r>
        <w:rPr>
          <w:rFonts w:ascii="Arial" w:hAnsi="Arial"/>
          <w:color w:val="404040"/>
          <w:sz w:val="21"/>
        </w:rPr>
        <w:t>Enrique Bassaletti RiessDiputado por el 8º Distrito RM</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Viabilidad económica de los taxis eléctricos</w:t>
      </w:r>
    </w:p>
    <w:p>
      <w:pPr>
        <w:spacing w:before="40" w:after="60"/>
        <w:ind w:left="283"/>
      </w:pPr>
      <w:r>
        <w:rPr>
          <w:rFonts w:ascii="Arial" w:hAnsi="Arial"/>
          <w:color w:val="404040"/>
          <w:sz w:val="21"/>
        </w:rPr>
        <w:t>A propósito del anuncio de Banco Estado sobre tasas de financiamiento preferenciales para la electromovilidad, desde 0,82% para taxis, desde el Centro de Movilidad Sostenible consideramos relevante aportar evidencia concreta sobre la conveniencia económica de esta transición.Al comparar la operación de un taxi de combustión interna y un taxi eléctrico de tamaño y gama equivalente, considerando un recorrido promedio diario y gastos de operación y mantención reales, los resultados reflejan que si se incorporan en la cuota de crédito los costos de energía y mantención, un taxista podría pagar hasta un 32% menos al optar por uno eléctrico. Este ahorro representa aproximadamente $ 430.000 mensuales, lo que constituye una mejora significativa en los ingresos líquidos del conductor. El análisis incluye el costo de adquisición e instalación de un cargador domiciliario, reforzando así la viabilidad económica de la electromovilidad en este segmento. Estos resultados muestran que la electromovilidad es una alternativa ambientalmente sostenible y una oportunidad concreta de reducción de costos para quienes trabajan en el transporte público menor.</w:t>
      </w:r>
    </w:p>
    <w:p>
      <w:pPr>
        <w:spacing w:before="40" w:after="60"/>
        <w:ind w:left="283"/>
      </w:pPr>
      <w:r>
        <w:rPr>
          <w:rFonts w:ascii="Arial" w:hAnsi="Arial"/>
          <w:color w:val="404040"/>
          <w:sz w:val="21"/>
        </w:rPr>
        <w:t>Sebastián GalarzaDirector Ejecutivo Centro de Movilidad Sostenible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Más creatividad para el futuro</w:t>
      </w:r>
    </w:p>
    <w:p>
      <w:pPr>
        <w:spacing w:before="40" w:after="60"/>
        <w:ind w:left="283"/>
      </w:pPr>
      <w:r>
        <w:rPr>
          <w:rFonts w:ascii="Arial" w:hAnsi="Arial"/>
          <w:color w:val="404040"/>
          <w:sz w:val="21"/>
        </w:rPr>
        <w:t>El Día Internacional de la Innovación y la Creatividad invita a recordar que la creatividad no es un talento reservado para unos pocos, sino una capacidad profundamente humana que debiera cultivarse desde la infancia.Sin embargo, en un contexto marcado por la sobrecarga de información, la inmediatez y la presión por resultados, esta capacidad se silencia. No es que no seamos creativos, es que dejamos de crear. Si queremos formar personas capaces de enfrentar la incertidumbre, necesitamos ir más allá de la transmisión de contenidos y generar entornos educativos que promuevan la curiosidad, el pensamiento crítico y la imaginación. Espacios donde exista confianza para explorar, tiempo para preguntar y, sobre todo, donde el error sea comprendido como parte esencial del aprendizaje. Cuando estas condiciones se dan, la innovación surge de manera natural. Apostar por la creatividad es, en definitiva apostar por una sociedad más humana, resiliente y preparada para los desafíos del futuro.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23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