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28 De Abril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gira a una leve caída y pierde los $ 900 mientras agentes esperan respuesta de EEUU a propuesta de paz iraní</w:t>
      </w:r>
    </w:p>
    <w:p>
      <w:pPr>
        <w:spacing w:before="40" w:after="60"/>
        <w:ind w:left="283"/>
      </w:pPr>
      <w:r>
        <w:rPr>
          <w:rFonts w:ascii="Arial" w:hAnsi="Arial"/>
          <w:color w:val="404040"/>
          <w:sz w:val="21"/>
        </w:rPr>
        <w:t>"Irán acaba de informarnos de que se encuentra en un 'estado de colapso'. Quieren que 'abramos el estrecho de Ormuz' lo antes posible, mientras tratan de resolver su situación de liderazgo (¡lo cual creo que lograrán!)", publicó Donald Trump esta mañana en su red Truth Social.</w:t>
      </w:r>
    </w:p>
    <w:p>
      <w:pPr>
        <w:spacing w:before="40" w:after="60"/>
        <w:ind w:left="283"/>
      </w:pPr>
      <w:r>
        <w:rPr>
          <w:rFonts w:ascii="Arial" w:hAnsi="Arial"/>
          <w:color w:val="404040"/>
          <w:sz w:val="21"/>
        </w:rPr>
        <w:t>El dólar no lograba afirmarse sobre $ 900 en la operación de este martes, mientras los participantes del mercado intentan descubrir qué tan biense habría recibidido en la Casa Blancala última propuesta de paz de Irán.</w:t>
      </w:r>
    </w:p>
    <w:p>
      <w:pPr>
        <w:spacing w:before="40" w:after="60"/>
        <w:ind w:left="283"/>
      </w:pPr>
      <w:r>
        <w:rPr>
          <w:rFonts w:ascii="Arial" w:hAnsi="Arial"/>
          <w:color w:val="404040"/>
          <w:sz w:val="21"/>
        </w:rPr>
        <w:t>La paridad dólar-peso inició la sesión en $ 902, peroantes del mediodía cotizaba a $ 893,6 en las pantallas de Bloomberg, lo que representa una caída de $ 1,9 desde su último cierre.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Accionistas del Banco Santander Chile aprueban dividendo y eligen nuevo directorio: Juan Benavides se suma como director independiente</w:t>
      </w:r>
    </w:p>
    <w:p>
      <w:pPr>
        <w:spacing w:before="40" w:after="60"/>
        <w:ind w:left="283"/>
      </w:pPr>
      <w:r>
        <w:rPr>
          <w:rFonts w:ascii="Arial" w:hAnsi="Arial"/>
          <w:color w:val="404040"/>
          <w:sz w:val="21"/>
        </w:rPr>
        <w:t>“Estamos en condiciones de capturar las oportunidades de crecimiento que traigan los nuevos ciclos del país", dijo Andrés Trautmann, gerente general y country head de Santander Chile.</w:t>
      </w:r>
    </w:p>
    <w:p>
      <w:pPr>
        <w:spacing w:before="40" w:after="60"/>
        <w:ind w:left="283"/>
      </w:pPr>
      <w:r>
        <w:rPr>
          <w:rFonts w:ascii="Arial" w:hAnsi="Arial"/>
          <w:color w:val="404040"/>
          <w:sz w:val="21"/>
        </w:rPr>
        <w:t>El presidente del banco, Rodrigo Vergara, junto al gerente general, Andrés Trautmann, y el director jurídico, Cristián Florence.</w:t>
      </w:r>
    </w:p>
    <w:p>
      <w:pPr>
        <w:spacing w:before="40" w:after="60"/>
        <w:ind w:left="283"/>
      </w:pPr>
      <w:r>
        <w:rPr>
          <w:rFonts w:ascii="Arial" w:hAnsi="Arial"/>
          <w:color w:val="404040"/>
          <w:sz w:val="21"/>
        </w:rPr>
        <w:t>Los accionistas del Banco Santander Chile aprobaron en junta ordinaria que se realizó este martes el nuevo directorio de la institución, que encabeza el economista y expresidente del Banco Central Rodrigo Vergara.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Fondo Pionero de Moneda Patria vende acciones de Watt's por $1.600 millones y baja del 11% de la propiedad</w:t>
      </w:r>
    </w:p>
    <w:p>
      <w:pPr>
        <w:spacing w:before="40" w:after="60"/>
        <w:ind w:left="283"/>
      </w:pPr>
      <w:r>
        <w:rPr>
          <w:rFonts w:ascii="Arial" w:hAnsi="Arial"/>
          <w:color w:val="404040"/>
          <w:sz w:val="21"/>
        </w:rPr>
        <w:t>La compañía avanza un 22,1% en la bolsa en lo que va de año.</w:t>
      </w:r>
    </w:p>
    <w:p>
      <w:pPr>
        <w:spacing w:before="40" w:after="60"/>
        <w:ind w:left="283"/>
      </w:pPr>
      <w:r>
        <w:rPr>
          <w:rFonts w:ascii="Arial" w:hAnsi="Arial"/>
          <w:color w:val="404040"/>
          <w:sz w:val="21"/>
        </w:rPr>
        <w:t>Nuevos movimientos en la Bolsa de Santiago protagonizó"Pionero",el fondo de inversión insignia de la gestoraMoneda Patria.Este lunes, el vehículo enfocado en acciones de baja y mediana capitalización bursátil,vendió al mercado parte de su posición en la compañía de la industria alimentaria Watt's.</w:t>
      </w:r>
    </w:p>
    <w:p>
      <w:pPr>
        <w:spacing w:before="40" w:after="60"/>
        <w:ind w:left="283"/>
      </w:pPr>
      <w:r>
        <w:rPr>
          <w:rFonts w:ascii="Arial" w:hAnsi="Arial"/>
          <w:color w:val="404040"/>
          <w:sz w:val="21"/>
        </w:rPr>
        <w:t>En detalle, Pionero enajenó 1.600 millones de acciones de la empresa ligada a la familia Larraín, a un valor promedio de $ 800 por papel.En total, el fondo recaudó $ 1.598 millones mediante la operación.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IPSA abre en rojo y arriesga perder los 11.000 puntos frente a dudas de EEUU sobre propuesta de paz iraní</w:t>
      </w:r>
    </w:p>
    <w:p>
      <w:pPr>
        <w:spacing w:before="40" w:after="60"/>
        <w:ind w:left="283"/>
      </w:pPr>
      <w:r>
        <w:rPr>
          <w:rFonts w:ascii="Arial" w:hAnsi="Arial"/>
          <w:color w:val="404040"/>
          <w:sz w:val="21"/>
        </w:rPr>
        <w:t>Donald Trump abordará el asunto "muy pronto", afirmó la vocera de la Casa Blanca, Karoline Leavitt. "Sus líneas rojas con respecto a Irán han quedado muy, muy claras", entre ellas, impedir que Teherán fabrique un arma nuclear, señaló a la prensa este lunes.</w:t>
      </w:r>
    </w:p>
    <w:p>
      <w:pPr>
        <w:spacing w:before="40" w:after="60"/>
        <w:ind w:left="283"/>
      </w:pPr>
      <w:r>
        <w:rPr>
          <w:rFonts w:ascii="Arial" w:hAnsi="Arial"/>
          <w:color w:val="404040"/>
          <w:sz w:val="21"/>
        </w:rPr>
        <w:t>Las bolsas caían este martes, frente a lasdudas de Estados Unidos respecto de la última propuesta de paz iraní, y mientras los sectores tecnológicos resienten además la noticia de que OpenAI no cumplió con las expectativas de resultados.</w:t>
      </w:r>
    </w:p>
    <w:p>
      <w:pPr>
        <w:spacing w:before="40" w:after="60"/>
        <w:ind w:left="283"/>
      </w:pPr>
      <w:r>
        <w:rPr>
          <w:rFonts w:ascii="Arial" w:hAnsi="Arial"/>
          <w:color w:val="404040"/>
          <w:sz w:val="21"/>
        </w:rPr>
        <w:t>El S&amp;P IPSA caía 0,7% a 11.047,46 puntos, trashaber partido la semana en rojo. En Wall Street,el Nasdaq perdía 1,1% y el S&amp;P 500 bajaba 0,5%, aunque el Dow Jones subía 0,3%. En Europa, los índices también bajaban, aunque moderadamente.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AFP encargan informe en derecho a Ferrada Nehme para revisar tarifas que cobrará el IPS como prestador de soporte</w:t>
      </w:r>
    </w:p>
    <w:p>
      <w:pPr>
        <w:spacing w:before="40" w:after="60"/>
        <w:ind w:left="283"/>
      </w:pPr>
      <w:r>
        <w:rPr>
          <w:rFonts w:ascii="Arial" w:hAnsi="Arial"/>
          <w:color w:val="404040"/>
          <w:sz w:val="21"/>
        </w:rPr>
        <w:t>Las administradoras solicitaron el estudio de manera previa al retiro del decreto tarifario desde la Contraloría por parte de la Subsecretaría de Previsión Social.</w:t>
      </w:r>
    </w:p>
    <w:p>
      <w:pPr>
        <w:spacing w:before="40" w:after="60"/>
        <w:ind w:left="283"/>
      </w:pPr>
      <w:r>
        <w:rPr>
          <w:rFonts w:ascii="Arial" w:hAnsi="Arial"/>
          <w:color w:val="404040"/>
          <w:sz w:val="21"/>
        </w:rPr>
        <w:t>La incorporación del Instituto de Previsión Social (IPS) como un prestador de actividades de soporte -en el marco de la reforma previsional- es uno de los temas que tienen en alerta a las AFP.</w:t>
      </w:r>
    </w:p>
    <w:p>
      <w:pPr>
        <w:spacing w:before="40" w:after="60"/>
        <w:ind w:left="283"/>
      </w:pPr>
      <w:r>
        <w:rPr>
          <w:rFonts w:ascii="Arial" w:hAnsi="Arial"/>
          <w:color w:val="404040"/>
          <w:sz w:val="21"/>
        </w:rPr>
        <w:t>De acuerdo con la ley de reforma de pensiones, este servicio público dependiente del Ministerio del Trabajo y Previsión Social tendrá un rol destacado en el negocio previsional.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Gobierno define nueva mesa directiva de EFE y economista Jorge Claude asume presidencia</w:t>
      </w:r>
    </w:p>
    <w:p>
      <w:pPr>
        <w:spacing w:before="40" w:after="60"/>
        <w:ind w:left="283"/>
      </w:pPr>
      <w:r>
        <w:rPr>
          <w:rFonts w:ascii="Arial" w:hAnsi="Arial"/>
          <w:color w:val="404040"/>
          <w:sz w:val="21"/>
        </w:rPr>
        <w:t>El nuevo timonel del directorio tiene una vasta experiencia en la industria de seguros del país.</w:t>
      </w:r>
    </w:p>
    <w:p>
      <w:pPr>
        <w:spacing w:before="40" w:after="60"/>
        <w:ind w:left="283"/>
      </w:pPr>
      <w:r>
        <w:rPr>
          <w:rFonts w:ascii="Arial" w:hAnsi="Arial"/>
          <w:color w:val="404040"/>
          <w:sz w:val="21"/>
        </w:rPr>
        <w:t>El consejo directivo del Sistema de Empresas Públicas (SEP), a cargo del exministro Felipe Morandé,acordó designar a Jorge Claude Bourdel como nuevo presidente del directorio de la Empresa de los Ferrocarriles del Estado (EFE), en reemplazo de Eric Martin González, quien estuvo a la cabeza de la estatal desde mayo de 2022.</w:t>
      </w:r>
    </w:p>
    <w:p>
      <w:pPr>
        <w:spacing w:before="40" w:after="60"/>
        <w:ind w:left="283"/>
      </w:pPr>
      <w:r>
        <w:rPr>
          <w:rFonts w:ascii="Arial" w:hAnsi="Arial"/>
          <w:color w:val="404040"/>
          <w:sz w:val="21"/>
        </w:rPr>
        <w:t>El nombramiento fue notificado a través de un hecho esencial emitido a la Comisión para el Mercado Financiero (CMF) y firmado por el actual gerente general del tren estatal, José Solorza.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Anglo American sube levemente producción de cobre en primer trimestre y gestiona inflación de costos operativos por guerra en Medio Oriente</w:t>
      </w:r>
    </w:p>
    <w:p>
      <w:pPr>
        <w:spacing w:before="40" w:after="60"/>
        <w:ind w:left="283"/>
      </w:pPr>
      <w:r>
        <w:rPr>
          <w:rFonts w:ascii="Arial" w:hAnsi="Arial"/>
          <w:color w:val="404040"/>
          <w:sz w:val="21"/>
        </w:rPr>
        <w:t>La producción del metal fue impulsada por las minas de Los Bronces y Collahuasi en Chile.</w:t>
      </w:r>
    </w:p>
    <w:p>
      <w:pPr>
        <w:spacing w:before="40" w:after="60"/>
        <w:ind w:left="283"/>
      </w:pPr>
      <w:r>
        <w:rPr>
          <w:rFonts w:ascii="Arial" w:hAnsi="Arial"/>
          <w:color w:val="404040"/>
          <w:sz w:val="21"/>
        </w:rPr>
        <w:t>La mina de cobre y molibdeno Los Bronces se encuentra a 65 kilómetros de Santiago y a 3.500 metros sobre el nivel del mar. (Foto: Reuters)</w:t>
      </w:r>
    </w:p>
    <w:p>
      <w:pPr>
        <w:spacing w:before="40" w:after="60"/>
        <w:ind w:left="283"/>
      </w:pPr>
      <w:r>
        <w:rPr>
          <w:rFonts w:ascii="Arial" w:hAnsi="Arial"/>
          <w:color w:val="404040"/>
          <w:sz w:val="21"/>
        </w:rPr>
        <w:t>Anglo American anunció el martes un aumento del 1% en la producción de cobre del primer trimestre, impulsado por el incremento de la producción en sus minas deLos Bronces y Collahuasi en Chile, y mantuvo sus previsiones de producción anual.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Contraloría publica reglamento de Ley Uber e industria proyecta su implementación para el segundo semestre</w:t>
      </w:r>
    </w:p>
    <w:p>
      <w:pPr>
        <w:spacing w:before="40" w:after="60"/>
        <w:ind w:left="283"/>
      </w:pPr>
      <w:r>
        <w:rPr>
          <w:rFonts w:ascii="Arial" w:hAnsi="Arial"/>
          <w:color w:val="404040"/>
          <w:sz w:val="21"/>
        </w:rPr>
        <w:t>El respectivo escrito propone la creación de un software que tiene plazo hasta agosto para ser desarrollado por la empresa Arkhotech.</w:t>
      </w:r>
    </w:p>
    <w:p>
      <w:pPr>
        <w:spacing w:before="40" w:after="60"/>
        <w:ind w:left="283"/>
      </w:pPr>
      <w:r>
        <w:rPr>
          <w:rFonts w:ascii="Arial" w:hAnsi="Arial"/>
          <w:color w:val="404040"/>
          <w:sz w:val="21"/>
        </w:rPr>
        <w:t>Tiene la firma del actual ministro Louis de Grange; y la del presidente José Antonio Kast. El viernes de la semana pasada, el Ministerio de Transporte y Telecomunicaciones ingresó a Contraloría el esperado reglamento que pondrá en marcha la Ley 21.553, mejor conocida como “Ley Uber”. Este lunes, Contraloría hizo público su ingreso y adjuntó el documento redactado por la actual administración.</w:t>
      </w:r>
    </w:p>
    <w:p>
      <w:pPr>
        <w:spacing w:before="40" w:after="60"/>
        <w:ind w:left="283"/>
      </w:pPr>
      <w:r>
        <w:rPr>
          <w:rFonts w:ascii="Arial" w:hAnsi="Arial"/>
          <w:color w:val="404040"/>
          <w:sz w:val="21"/>
        </w:rPr>
        <w:t>Tal como ya habían adelantado desde la cartera, el nuevo borrador eliminó el debatido requisito técnico de cilindrada mínima y aumentó la antigüedad máxima de los autos que conductores podrán inscribirse por primera vez en el Registro Electrónico (que administrará toda la información requerida por parte de la autoridad a las empresas y conductores) de uno a cinco años. La antigüedad máxima, en tanto, se fijó en 15 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Concesionaria de Hospital Félix Bulnes vuelve a arremeter contra MOP y acusa seis años de operación bajo condiciones no pactadas</w:t>
      </w:r>
    </w:p>
    <w:p>
      <w:pPr>
        <w:spacing w:before="40" w:after="60"/>
        <w:ind w:left="283"/>
      </w:pPr>
      <w:r>
        <w:rPr>
          <w:rFonts w:ascii="Arial" w:hAnsi="Arial"/>
          <w:color w:val="404040"/>
          <w:sz w:val="21"/>
        </w:rPr>
        <w:t>La sociedad reclama una compensación por cerca de US$ 16 millones. La ofensiva se suma al litigio iniciado en 2024, cuando exigió pagos por hasta US$ 107 millones.</w:t>
      </w:r>
    </w:p>
    <w:p>
      <w:pPr>
        <w:spacing w:before="40" w:after="60"/>
        <w:ind w:left="283"/>
      </w:pPr>
      <w:r>
        <w:rPr>
          <w:rFonts w:ascii="Arial" w:hAnsi="Arial"/>
          <w:color w:val="404040"/>
          <w:sz w:val="21"/>
        </w:rPr>
        <w:t>En mayo de 2024, la sociedad concesionaria a cargo del Hospital Félix Bulnes -ligada al gestor de fondos francés Meridian- inició una batalla contra el Ministerio de Obras Públicas (MOP), en la que pidió ser compensada por una suma que podría alcanzar hasta UF 2.409.452, equivalentes a cerca de US$ 107 millones.</w:t>
      </w:r>
    </w:p>
    <w:p>
      <w:pPr>
        <w:spacing w:before="40" w:after="60"/>
        <w:ind w:left="283"/>
      </w:pPr>
      <w:r>
        <w:rPr>
          <w:rFonts w:ascii="Arial" w:hAnsi="Arial"/>
          <w:color w:val="404040"/>
          <w:sz w:val="21"/>
        </w:rPr>
        <w:t>A juicio de la firma, el hospital “ha operado de forma completamente distinta a la pactada bajo el contrato de concesión”, afectando los servicios concesionados tanto en volumen como en exigencias 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Codelco ingresa proyecto de US$ 12 millones para explorar potencial de recursos de litio en sus pertenencias en el Salar de Pedernales</w:t>
      </w:r>
    </w:p>
    <w:p>
      <w:pPr>
        <w:spacing w:before="40" w:after="60"/>
        <w:ind w:left="283"/>
      </w:pPr>
      <w:r>
        <w:rPr>
          <w:rFonts w:ascii="Arial" w:hAnsi="Arial"/>
          <w:color w:val="404040"/>
          <w:sz w:val="21"/>
        </w:rPr>
        <w:t>La estatal detalló que, para los programas de exploración, la iniciativa requerirá 114 pozos de sondeo.</w:t>
      </w:r>
    </w:p>
    <w:p>
      <w:pPr>
        <w:spacing w:before="40" w:after="60"/>
        <w:ind w:left="283"/>
      </w:pPr>
      <w:r>
        <w:rPr>
          <w:rFonts w:ascii="Arial" w:hAnsi="Arial"/>
          <w:color w:val="404040"/>
          <w:sz w:val="21"/>
        </w:rPr>
        <w:t>La estatal Codelco sigue ampliando su ruta hacia el litio. Así, tras la materialización de la empresa conjunta con SQM, Nova Andino Litio, la cuprera ingresó este lunes a evaluación ambiental un proyecto de US$ 12 millones con el que buscaráidentificar el potencial de los recursos del "oro blanco" que se encuentran en las propiedades mineras que posee en el Salar de Pedernales.</w:t>
      </w:r>
    </w:p>
    <w:p>
      <w:pPr>
        <w:spacing w:before="40" w:after="60"/>
        <w:ind w:left="283"/>
      </w:pPr>
      <w:r>
        <w:rPr>
          <w:rFonts w:ascii="Arial" w:hAnsi="Arial"/>
          <w:color w:val="404040"/>
          <w:sz w:val="21"/>
        </w:rPr>
        <w:t>De acuerdo con la Declaración de Impacto Ambiental (DIA), la iniciativacontempla la ejecución de un programa de exploración minera de tres campañas, pruebas de bombeo y también de reinyección de salmuera en la laguna salina con el fin de validar la viabilidad técnica de este método. Para todo lo anterior,el programa considera la perforación de 114 pozos de sondeo.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y la polémica por oficio Dipres: "Es una comunicación interna entre ministerios... como que alguien revise la carta de una pareja y empieza a dar opiniones"</w:t>
      </w:r>
    </w:p>
    <w:p>
      <w:pPr>
        <w:spacing w:before="40" w:after="60"/>
        <w:ind w:left="283"/>
      </w:pPr>
      <w:r>
        <w:rPr>
          <w:rFonts w:ascii="Arial" w:hAnsi="Arial"/>
          <w:color w:val="404040"/>
          <w:sz w:val="21"/>
        </w:rPr>
        <w:t>El ministro de Hacienda defendió su rol al mando de las finanzas públicas y las medidas adoptadas afirmando que “tengo el respaldo del Presidente… el ministerio de Hacienda siempre ha tenido poder y se trata aquí de habitar el cargo”.</w:t>
      </w:r>
    </w:p>
    <w:p>
      <w:pPr>
        <w:spacing w:before="40" w:after="60"/>
        <w:ind w:left="283"/>
      </w:pPr>
      <w:r>
        <w:rPr>
          <w:rFonts w:ascii="Arial" w:hAnsi="Arial"/>
          <w:color w:val="404040"/>
          <w:sz w:val="21"/>
        </w:rPr>
        <w:t>"El oficio (Dipres) ocupa las palabras, que no son las perfectas en términos de comunicaciones, porque no está diseñado para ser comunicado al público general", sostuvo este martes el ministro de Hacienda, Jorge Quiroz, para explicar la polémica generada porla instrucción emitida a los ministerios de descontinuar los programas públicos mal evaluados, donde luego debió salir a explicar la propia Dipres que se trataba de un error conceptual y la palabra adecuada era “reformular”, por ejemplo, el plan nacional de alimentación escolar.</w:t>
      </w:r>
    </w:p>
    <w:p>
      <w:pPr>
        <w:spacing w:before="40" w:after="60"/>
        <w:ind w:left="283"/>
      </w:pPr>
      <w:r>
        <w:rPr>
          <w:rFonts w:ascii="Arial" w:hAnsi="Arial"/>
          <w:color w:val="404040"/>
          <w:sz w:val="21"/>
        </w:rPr>
        <w:t>En entrevista con Radio Infinita,lamentó la filtración del oficio y sostuvo que el documento en cuestión "es una comunicación interna entre ministerios. Esto es como un poquito que alguien venga y revise la carta de una pareja y empieza a dar opiniones”.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Hacienda y diputados activan este martes mesa técnica de asesores por proyecto de reconstrucción</w:t>
      </w:r>
    </w:p>
    <w:p>
      <w:pPr>
        <w:spacing w:before="40" w:after="60"/>
        <w:ind w:left="283"/>
      </w:pPr>
      <w:r>
        <w:rPr>
          <w:rFonts w:ascii="Arial" w:hAnsi="Arial"/>
          <w:color w:val="404040"/>
          <w:sz w:val="21"/>
        </w:rPr>
        <w:t>El Ejecutivo y los parlamentarios acordaron un grupo amplio de representantes para revisar el articulado y el informe financiero del texto.</w:t>
      </w:r>
    </w:p>
    <w:p>
      <w:pPr>
        <w:spacing w:before="40" w:after="60"/>
        <w:ind w:left="283"/>
      </w:pPr>
      <w:r>
        <w:rPr>
          <w:rFonts w:ascii="Arial" w:hAnsi="Arial"/>
          <w:color w:val="404040"/>
          <w:sz w:val="21"/>
        </w:rPr>
        <w:t>Un hito se marcará la jornada de este martes en el marco de la tramitación de la ley de reconstrucción y reactivación nacional, ingresada al Congreso por el gobierno la semana pasada.</w:t>
      </w:r>
    </w:p>
    <w:p>
      <w:pPr>
        <w:spacing w:before="40" w:after="60"/>
        <w:ind w:left="283"/>
      </w:pPr>
      <w:r>
        <w:rPr>
          <w:rFonts w:ascii="Arial" w:hAnsi="Arial"/>
          <w:color w:val="404040"/>
          <w:sz w:val="21"/>
        </w:rPr>
        <w:t>A las 15 horas, en la sede del Ministerio de Hacienda se desarrollará la primera reunión del equipo de asesores de los parlamentarios de la comisión de Hacienda de la Cámara con representantes del Ejecutivo, dando forma al acuerdo alcanzado la semana pasada entre el ministro del ramo, Jorge Quiroz, y el presidente del grupo parlamentario, Agustín Romero.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Ministro Rau defiende crédito tributario al empleo, pero se abre a discutir “instrumento óptimo” en el Congreso</w:t>
      </w:r>
    </w:p>
    <w:p>
      <w:pPr>
        <w:spacing w:before="40" w:after="60"/>
        <w:ind w:left="283"/>
      </w:pPr>
      <w:r>
        <w:rPr>
          <w:rFonts w:ascii="Arial" w:hAnsi="Arial"/>
          <w:color w:val="404040"/>
          <w:sz w:val="21"/>
        </w:rPr>
        <w:t>“El Congreso es un espacio donde se puede tener una conversación sobre cuál es el instrumento óptimo”, destacó el secretario de Estado ante cuestionamientos a la medida. Y, en este contexto, valoró la liquidez que implica para las empresas.</w:t>
      </w:r>
    </w:p>
    <w:p>
      <w:pPr>
        <w:spacing w:before="40" w:after="60"/>
        <w:ind w:left="283"/>
      </w:pPr>
      <w:r>
        <w:rPr>
          <w:rFonts w:ascii="Arial" w:hAnsi="Arial"/>
          <w:color w:val="404040"/>
          <w:sz w:val="21"/>
        </w:rPr>
        <w:t>A casi una semana de la presentación delproyecto de reconstrucción y reactivación económica, la propuesta de crédito tributario al empleo ha sumado más de una mirada escéptica desde el mundo técnico en términos de lo costoso que resulta –son unos US$ 1.400 millones al año- versus su posible impacto en la generación de nuevos puestos de trabajo. Un contexto del que se hace cargo el ministro del Trabajo, Tomás Rau, poniendo en primer plano la preocupación por la situación del mercado laboral que considera “compleja”, incluida una tasa de desempleo que lleva 38 meses consecutivos sobre 8%.</w:t>
      </w:r>
    </w:p>
    <w:p>
      <w:pPr>
        <w:spacing w:before="40" w:after="60"/>
        <w:ind w:left="283"/>
      </w:pPr>
      <w:r>
        <w:rPr>
          <w:rFonts w:ascii="Arial" w:hAnsi="Arial"/>
          <w:color w:val="404040"/>
          <w:sz w:val="21"/>
        </w:rPr>
        <w:t>“Nuestro compromiso como gobierno es tomar medidas para que la economía básicamente crezca más, haya más inversión y con esto se generen más empleos”, afirma junto con reconocer “que es legítimo que haya un debate técnico respecto a la medida (…) El Congreso también va a ser una instancia donde puede desarrollarse esa conversación”.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Meta de PIB del gobierno cuesta arriba: analistas ven a Chile pegado en torno al 2% en el largo plazo</w:t>
      </w:r>
    </w:p>
    <w:p>
      <w:pPr>
        <w:spacing w:before="40" w:after="60"/>
        <w:ind w:left="283"/>
      </w:pPr>
      <w:r>
        <w:rPr>
          <w:rFonts w:ascii="Arial" w:hAnsi="Arial"/>
          <w:color w:val="404040"/>
          <w:sz w:val="21"/>
        </w:rPr>
        <w:t>El consenso del Latin American Consensus Forecast de abril arrojó que el país crecería 2,2% este año. Mientras que para el período 2032-3026 esperan que sea de 2,3%.</w:t>
      </w:r>
    </w:p>
    <w:p>
      <w:pPr>
        <w:spacing w:before="40" w:after="60"/>
        <w:ind w:left="283"/>
      </w:pPr>
      <w:r>
        <w:rPr>
          <w:rFonts w:ascii="Arial" w:hAnsi="Arial"/>
          <w:color w:val="404040"/>
          <w:sz w:val="21"/>
        </w:rPr>
        <w:t>La meta autoimpuesta por el gobierno de terminar la administración con una expansión del 4% del Producto Interno Bruto (PIB) se ve cada vez más alejada por parte del mercado.</w:t>
      </w:r>
    </w:p>
    <w:p>
      <w:pPr>
        <w:spacing w:before="40" w:after="60"/>
        <w:ind w:left="283"/>
      </w:pPr>
      <w:r>
        <w:rPr>
          <w:rFonts w:ascii="Arial" w:hAnsi="Arial"/>
          <w:color w:val="404040"/>
          <w:sz w:val="21"/>
        </w:rPr>
        <w:t>De acuerdo con el último informe del Latin American Consensus Forecast, que reúne la visión de cerca de una treintena de entidades -entre locales e internacionales-, se espera que para este año la actividad sea del orden del 2,2% y en el mediano plazo llegue hasta 2,3%</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Ximena Ossandón (RN) y el proyecto de reactivación: "Nosotros y el gobierno hemos comunicado mal cuál es realmente el foco de esta reforma"</w:t>
      </w:r>
    </w:p>
    <w:p>
      <w:pPr>
        <w:spacing w:before="40" w:after="60"/>
        <w:ind w:left="283"/>
      </w:pPr>
      <w:r>
        <w:rPr>
          <w:rFonts w:ascii="Arial" w:hAnsi="Arial"/>
          <w:color w:val="404040"/>
          <w:sz w:val="21"/>
        </w:rPr>
        <w:t>La segunda vicepresidenta de la Cámara de Diputados plantea poner el debate en términos de la izquierda, "que cuando al rico le va bien, a la persona más pobre también le debería ir bien".</w:t>
      </w:r>
    </w:p>
    <w:p>
      <w:pPr>
        <w:spacing w:before="40" w:after="60"/>
        <w:ind w:left="283"/>
      </w:pPr>
      <w:r>
        <w:rPr>
          <w:rFonts w:ascii="Arial" w:hAnsi="Arial"/>
          <w:color w:val="404040"/>
          <w:sz w:val="21"/>
        </w:rPr>
        <w:t>Es conocida por ser directa y franca lo que suele incomodar más en su sector que en la oposición, pero ese rasgo de su carácter es reconocido como una cualidad de la actualsegunda vicepresidenta de la Cámara, diputada Ximena Ossandón, militante de Renovación Nacional (RN).</w:t>
      </w:r>
    </w:p>
    <w:p>
      <w:pPr>
        <w:spacing w:before="40" w:after="60"/>
        <w:ind w:left="283"/>
      </w:pPr>
      <w:r>
        <w:rPr>
          <w:rFonts w:ascii="Arial" w:hAnsi="Arial"/>
          <w:color w:val="404040"/>
          <w:sz w:val="21"/>
        </w:rPr>
        <w:t>En conversación con la Vereda Política de Diario Financiero,la legisladora, que se encuentra en su tercer periodo en la Cámara, admitió que le gustaría llegar al Senado, pero que esa es una decisión que se toma colectivamente en el partido. Pero, esencialmente, profundizó en el proyecto de reactivación económica.Aunque fue la primera y una de las pocas que, en su sector, levantó la voz para pedir que la iniciativa se dividiera, acató la postura del Ejecutivo de no hacerlo.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Copa Airlines firma acuerdo con Boeing para la compra de 60 aviones 737 MAX por US$ 13.500 millones</w:t>
      </w:r>
    </w:p>
    <w:p>
      <w:pPr>
        <w:spacing w:before="40" w:after="60"/>
        <w:ind w:left="283"/>
      </w:pPr>
      <w:r>
        <w:rPr>
          <w:rFonts w:ascii="Arial" w:hAnsi="Arial"/>
          <w:color w:val="404040"/>
          <w:sz w:val="21"/>
        </w:rPr>
        <w:t>La orden se suma a las 40 aeronaves que aún están pendientes por entregar del acuerdo vigente.</w:t>
      </w:r>
    </w:p>
    <w:p>
      <w:pPr>
        <w:spacing w:before="40" w:after="60"/>
        <w:ind w:left="283"/>
      </w:pPr>
      <w:r>
        <w:rPr>
          <w:rFonts w:ascii="Arial" w:hAnsi="Arial"/>
          <w:color w:val="404040"/>
          <w:sz w:val="21"/>
        </w:rPr>
        <w:t>Laaerolínea panameñaCopa Airlinesanunció lafirma de un acuerdo con Boeing para la adquisición de hasta 60 aeronaves 737 MAXde la constructora aeronáutica por una inversión aproximada de US$ 13.500 millones a precio de lista.</w:t>
      </w:r>
    </w:p>
    <w:p>
      <w:pPr>
        <w:spacing w:before="40" w:after="60"/>
        <w:ind w:left="283"/>
      </w:pPr>
      <w:r>
        <w:rPr>
          <w:rFonts w:ascii="Arial" w:hAnsi="Arial"/>
          <w:color w:val="404040"/>
          <w:sz w:val="21"/>
        </w:rPr>
        <w:t>Según lo informado por la compañía,la orden se suma a las 40 aeronaves que aún están pendientes por entregar del acuerdo vigente entre ambas firmas.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Emiratos Árabes Unidos abandonará la OPEP y la OPEP+ a partir del 1 de mayo</w:t>
      </w:r>
    </w:p>
    <w:p>
      <w:pPr>
        <w:spacing w:before="40" w:after="60"/>
        <w:ind w:left="283"/>
      </w:pPr>
      <w:r>
        <w:rPr>
          <w:rFonts w:ascii="Arial" w:hAnsi="Arial"/>
          <w:color w:val="404040"/>
          <w:sz w:val="21"/>
        </w:rPr>
        <w:t>La decisión constituye un golpe para el cartel petrolero y su líder de facto, Arabia Saudita, en medio de las dificultades por el cierre del estrecho de Ormuz.</w:t>
      </w:r>
    </w:p>
    <w:p>
      <w:pPr>
        <w:spacing w:before="40" w:after="60"/>
        <w:ind w:left="283"/>
      </w:pPr>
      <w:r>
        <w:rPr>
          <w:rFonts w:ascii="Arial" w:hAnsi="Arial"/>
          <w:color w:val="404040"/>
          <w:sz w:val="21"/>
        </w:rPr>
        <w:t>En medio de la guerra en Medio Oriente y el doble bloqueo, iraní y estadounidense, del estrecho de Ormuz, este martes Emiratos Árabes Unidos (EAU) anunció su salida de la Organización de Países Exportadores de Petróleo (OPEP) y de la OPEP+,determinación que supone un severo golpe al cartel y a su líder de facto, Arabia Saudita.</w:t>
      </w:r>
    </w:p>
    <w:p>
      <w:pPr>
        <w:spacing w:before="40" w:after="60"/>
        <w:ind w:left="283"/>
      </w:pPr>
      <w:r>
        <w:rPr>
          <w:rFonts w:ascii="Arial" w:hAnsi="Arial"/>
          <w:color w:val="404040"/>
          <w:sz w:val="21"/>
        </w:rPr>
        <w:t>“Esta decisión surge tras una revisión exhaustiva de la política de producción de los EAU y de su capacidad actual y futura, yse basa en nuestro interés nacional y en nuestro compromiso de contribuir eficazmente a satisfacer las necesidades apremiantes del mercado”, declaró el Ministerio de Energía de los EAU.</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Utilidades de BYD se desploman a la mitad: mayor demanda por autos eléctricos debido a la guerra no pudo compensar una caída en ventas en China</w:t>
      </w:r>
    </w:p>
    <w:p>
      <w:pPr>
        <w:spacing w:before="40" w:after="60"/>
        <w:ind w:left="283"/>
      </w:pPr>
      <w:r>
        <w:rPr>
          <w:rFonts w:ascii="Arial" w:hAnsi="Arial"/>
          <w:color w:val="404040"/>
          <w:sz w:val="21"/>
        </w:rPr>
        <w:t>Ante la desaceleración del crecimiento de las ventas de vehículos eléctricos en China, BYD se ha visto sometida a una intensa presión por parte de rivales locales como Geely, Leapmotor, Xiaomi y, cada vez más, una gama de automóviles equipados con software y hardware de Huawei.</w:t>
      </w:r>
    </w:p>
    <w:p>
      <w:pPr>
        <w:spacing w:before="40" w:after="60"/>
        <w:ind w:left="283"/>
      </w:pPr>
      <w:r>
        <w:rPr>
          <w:rFonts w:ascii="Arial" w:hAnsi="Arial"/>
          <w:color w:val="404040"/>
          <w:sz w:val="21"/>
        </w:rPr>
        <w:t>La vicepresidenta ejecutiva de BYD, Stella Li, durante el Salón del Automóvil de Beijing la semana pasada. (Foto: Reuters)</w:t>
      </w:r>
    </w:p>
    <w:p>
      <w:pPr>
        <w:spacing w:before="40" w:after="60"/>
        <w:ind w:left="283"/>
      </w:pPr>
      <w:r>
        <w:rPr>
          <w:rFonts w:ascii="Arial" w:hAnsi="Arial"/>
          <w:color w:val="404040"/>
          <w:sz w:val="21"/>
        </w:rPr>
        <w:t>Las utilidades de BYD se redujeron a menos de la mitad, ya que el declive de la compañía en el feroz mercado chino contrarresta el aumento de la demanda de vehículos eléctricos a nivel mundial tras la guerra con Irán.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precio del petróleo supera los US$ 110 por primera vez en tres semanas mientras EEUU afirma que hay dudas sobre la propuesta de Irán</w:t>
      </w:r>
    </w:p>
    <w:p>
      <w:pPr>
        <w:spacing w:before="40" w:after="60"/>
        <w:ind w:left="283"/>
      </w:pPr>
      <w:r>
        <w:rPr>
          <w:rFonts w:ascii="Arial" w:hAnsi="Arial"/>
          <w:color w:val="404040"/>
          <w:sz w:val="21"/>
        </w:rPr>
        <w:t>La secretaria de prensa de la Casa Blanca, Karoline Leavitt, informó a los periodistas que el presidente Donald Trump había convocado a funcionarios de seguridad nacional para revisar la oferta iraní. "Sus líneas rojas con respecto a Irán han sido muy, muy claras".</w:t>
      </w:r>
    </w:p>
    <w:p>
      <w:pPr>
        <w:spacing w:before="40" w:after="60"/>
        <w:ind w:left="283"/>
      </w:pPr>
      <w:r>
        <w:rPr>
          <w:rFonts w:ascii="Arial" w:hAnsi="Arial"/>
          <w:color w:val="404040"/>
          <w:sz w:val="21"/>
        </w:rPr>
        <w:t>La secretaria de prensa de la Casa Blanca, Karoline Leavitt, aseguró el lunes que Trump abordaría el tema "muy pronto".</w:t>
      </w:r>
    </w:p>
    <w:p>
      <w:pPr>
        <w:spacing w:before="40" w:after="60"/>
        <w:ind w:left="283"/>
      </w:pPr>
      <w:r>
        <w:rPr>
          <w:rFonts w:ascii="Arial" w:hAnsi="Arial"/>
          <w:color w:val="404040"/>
          <w:sz w:val="21"/>
        </w:rPr>
        <w:t>El petróleo superó los US$ 110 por barril por primera vez en tres semanas en las primeras operaciones del martes, mientras Estados Unidos e Irán parecían avanzar poco hacia un acuerdo de paz que desbloquearía el suministro de energía a través del estrecho de Ormuz.</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fundada por exSuper de Medio Ambiente de Piñera levanta capital para combatir la permisología</w:t>
      </w:r>
    </w:p>
    <w:p>
      <w:pPr>
        <w:spacing w:before="40" w:after="60"/>
        <w:ind w:left="283"/>
      </w:pPr>
      <w:r>
        <w:rPr>
          <w:rFonts w:ascii="Arial" w:hAnsi="Arial"/>
          <w:color w:val="404040"/>
          <w:sz w:val="21"/>
        </w:rPr>
        <w:t>Inzai desarrolló una plataforma basada en datos e IA para, entre otros, revisar la consistencia y coherencia de documentos en trámites de evaluación ambiental y generar primeras respuestas a la autoridad para acelerar tramitación de proyectos.</w:t>
      </w:r>
    </w:p>
    <w:p>
      <w:pPr>
        <w:spacing w:before="40" w:after="60"/>
        <w:ind w:left="283"/>
      </w:pPr>
      <w:r>
        <w:rPr>
          <w:rFonts w:ascii="Arial" w:hAnsi="Arial"/>
          <w:color w:val="404040"/>
          <w:sz w:val="21"/>
        </w:rPr>
        <w:t>Pablo Aguirre y Cristóbal de la Maza, cofundadores de Inzai.</w:t>
      </w:r>
    </w:p>
    <w:p>
      <w:pPr>
        <w:spacing w:before="40" w:after="60"/>
        <w:ind w:left="283"/>
      </w:pPr>
      <w:r>
        <w:rPr>
          <w:rFonts w:ascii="Arial" w:hAnsi="Arial"/>
          <w:color w:val="404040"/>
          <w:sz w:val="21"/>
        </w:rPr>
        <w:t>El debate en torno a los tiempos para obtener permisos regulatorios y ambientales para proyectos de inversión se ha transformado en uno de los principales puntos de discusión en foros empresariales y en la agenda del gobierno.Con el objetivo de apoyar a las grandes empresas a sortear la llamada permisología, la startup chilena Inzai acaba de cerrar una ronda de US$ 500 mil.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Comienza el juicio de OpenAI que enfrenta a Elon Musk con Sam Altman</w:t>
      </w:r>
    </w:p>
    <w:p>
      <w:pPr>
        <w:spacing w:before="40" w:after="60"/>
        <w:ind w:left="283"/>
      </w:pPr>
      <w:r>
        <w:rPr>
          <w:rFonts w:ascii="Arial" w:hAnsi="Arial"/>
          <w:color w:val="404040"/>
          <w:sz w:val="21"/>
        </w:rPr>
        <w:t>La disputa cuestiona el giro de la compañía hacia el lucro, busca revertir su estructura y abre incertidumbre sobre su gobierno corporativo y planes de salida a bolsa.</w:t>
      </w:r>
    </w:p>
    <w:p>
      <w:pPr>
        <w:spacing w:before="40" w:after="60"/>
        <w:ind w:left="283"/>
      </w:pPr>
      <w:r>
        <w:rPr>
          <w:rFonts w:ascii="Arial" w:hAnsi="Arial"/>
          <w:color w:val="404040"/>
          <w:sz w:val="21"/>
        </w:rPr>
        <w:t>Un juicio que podría ayudar a definir el futuro de la inteligencia artificial (IA) comienza este martes, con los multimillonariosElon Musk y Sam Altmanenfrentados por la evolución deOpenAI, creadora de ChatGPT,desde una organización sin fines de lucro hacia un gigante con fines de lucro valorado en cientos de miles de millones de dólares.</w:t>
      </w:r>
    </w:p>
    <w:p>
      <w:pPr>
        <w:spacing w:before="40" w:after="60"/>
        <w:ind w:left="283"/>
      </w:pPr>
      <w:r>
        <w:rPr>
          <w:rFonts w:ascii="Arial" w:hAnsi="Arial"/>
          <w:color w:val="404040"/>
          <w:sz w:val="21"/>
        </w:rPr>
        <w:t>Los alegatos iniciales en la demanda civil de Musk contra OpenAI y Altman tendrán lugar en el tribunal federal de Oakland, California, tras la selección el lunes de nueve jurados.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Fin de la franquicia Sence</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Reforma sin productividad</w:t>
      </w:r>
    </w:p>
    <w:p>
      <w:pPr>
        <w:spacing w:before="40" w:after="60"/>
        <w:ind w:left="283"/>
      </w:pPr>
      <w:r>
        <w:rPr>
          <w:rFonts w:ascii="Arial" w:hAnsi="Arial"/>
          <w:color w:val="404040"/>
          <w:sz w:val="21"/>
        </w:rPr>
        <w:t>La reducción de la jornada a 42 horas es un avance relevante, pero su implementación ha estado marcada por una incertidumbre que no es menor. La norma original establecía un marco claro y gradual; sin embargo, los dictámenes posteriores de la Dirección del Trabajo (DT) -en paticular del gobierno anterior- introdujeron criterios cambiantes que tensionaron esa claridad inicial.</w:t>
      </w:r>
    </w:p>
    <w:p>
      <w:pPr>
        <w:spacing w:before="40" w:after="60"/>
        <w:ind w:left="283"/>
      </w:pPr>
      <w:r>
        <w:rPr>
          <w:rFonts w:ascii="Arial" w:hAnsi="Arial"/>
          <w:color w:val="404040"/>
          <w:sz w:val="21"/>
        </w:rPr>
        <w:t>A ello se sumó una ley interpretativa que, si bien buscó aclarar aspectos de la implementación, lo hizo desconociendo en parte la realidad operativa de las empresas. En el actual gobierno, la DT, en vez de ordenar oportunamente este escenario, tardó en confirmar criterios que, en la práctica, ya se venían aplicando, prolongando la incertidumbre. Este contexto generó una expectativa permanente de ajustes, debilitando la certeza jurídica necesaria para planificar y llevando a muchas empresas a postergar decisiones hasta etapas finales, con mayores costos de adaptación.</w:t>
      </w:r>
    </w:p>
    <w:p>
      <w:pPr>
        <w:spacing w:before="40" w:after="60"/>
        <w:ind w:left="283"/>
      </w:pPr>
      <w:r>
        <w:rPr>
          <w:rFonts w:ascii="Arial" w:hAnsi="Arial"/>
          <w:color w:val="404040"/>
          <w:sz w:val="21"/>
        </w:rPr>
        <w:t>El desafío es promover el empleo con reglas comprensibles, estables y coherentes con la realidad productiva. Con un desempleo por sobre el 8%, el sentido de urgencia en esta materia no puede seguir siendo secundario. El empleo no puede ni debe ser la única política pública, pero es una de las más relevantes que en este mes y medio de instalación se ve poco.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Seguridad y vivienda</w:t>
      </w:r>
    </w:p>
    <w:p>
      <w:pPr>
        <w:spacing w:before="40" w:after="60"/>
        <w:ind w:left="283"/>
      </w:pPr>
      <w:r>
        <w:rPr>
          <w:rFonts w:ascii="Arial" w:hAnsi="Arial"/>
          <w:color w:val="404040"/>
          <w:sz w:val="21"/>
        </w:rPr>
        <w:t>La posibilidad de acceder a una vivienda propia en Chile se ha ido alejando progresivamente. Y esto ha generado dos consecuencias sumamente graves: una sobre oferta en sectores inseguros, como Santiago Centro y Estación Central, y un aumento sostenido en los precios de arriendo en comunas con mayor demanda. Si bien la solución no es rápida -pues responde a años de deterioro económico e institucional-, es urgente comenzar por devolver la seguridad a las comunas que hoy la han perdido. Recuperar estos espacios no solo mejoraría la calidad de vida de sus vecinos, sino que también, permitiría re equilibrar el mercado habitacional.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28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