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29 De Abril De 2026</w:t>
      </w:r>
    </w:p>
    <w:p>
      <w:pPr>
        <w:jc w:val="center"/>
      </w:pPr>
      <w:r>
        <w:rPr>
          <w:rFonts w:ascii="Arial" w:hAnsi="Arial"/>
          <w:color w:val="999999"/>
          <w:sz w:val="20"/>
        </w:rPr>
        <w:t>6 secciones  ·  35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Bancos acumulan ganancias por US$ 523 millones en marzo y colocaciones vuelven a crecer tras meses de contracción</w:t>
      </w:r>
    </w:p>
    <w:p>
      <w:pPr>
        <w:spacing w:before="40" w:after="60"/>
        <w:ind w:left="283"/>
      </w:pPr>
      <w:r>
        <w:rPr>
          <w:rFonts w:ascii="Arial" w:hAnsi="Arial"/>
          <w:color w:val="404040"/>
          <w:sz w:val="21"/>
        </w:rPr>
        <w:t>Según el informe de desempeño de la CMF, el repunte de los créditos estuvo impulsado por la cartera comercial.</w:t>
      </w:r>
    </w:p>
    <w:p>
      <w:pPr>
        <w:spacing w:before="40" w:after="60"/>
        <w:ind w:left="283"/>
      </w:pPr>
      <w:r>
        <w:rPr>
          <w:rFonts w:ascii="Arial" w:hAnsi="Arial"/>
          <w:color w:val="404040"/>
          <w:sz w:val="21"/>
        </w:rPr>
        <w:t>LaComisión para el Mercado Financiero (CMF)publicó este miércoles el informe de desempeño del sistema bancario al cierre de marzo de 2026, dondela banca registró utilidades por $ 486.972 millones(unos US$ 523 millones), lo que representó una caída de 14,7% respecto de igual periodo de 2025, cuando alcanzaron $ 570.911 millones.</w:t>
      </w:r>
    </w:p>
    <w:p>
      <w:pPr>
        <w:spacing w:before="40" w:after="60"/>
        <w:ind w:left="283"/>
      </w:pPr>
      <w:r>
        <w:rPr>
          <w:rFonts w:ascii="Arial" w:hAnsi="Arial"/>
          <w:color w:val="404040"/>
          <w:sz w:val="21"/>
        </w:rPr>
        <w:t>Según explicó el regulador, este resultado se debió principalmente a unmenor resultado financiero neto y a un mayor gasto por impuestos,lo que contrarrestó el efecto de menores gastos operacionales.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Presidenta de la CMF advierte que la inteligencia artificial "va a agregar nuevos riesgos que hoy no logramos visualizar"</w:t>
      </w:r>
    </w:p>
    <w:p>
      <w:pPr>
        <w:spacing w:before="40" w:after="60"/>
        <w:ind w:left="283"/>
      </w:pPr>
      <w:r>
        <w:rPr>
          <w:rFonts w:ascii="Arial" w:hAnsi="Arial"/>
          <w:color w:val="404040"/>
          <w:sz w:val="21"/>
        </w:rPr>
        <w:t>Durante la cuenta pública 2025 de la CMF, Catherine Tornel, destacó avances en Basilea III y la Ley Fintech.</w:t>
      </w:r>
    </w:p>
    <w:p>
      <w:pPr>
        <w:spacing w:before="40" w:after="60"/>
        <w:ind w:left="283"/>
      </w:pPr>
      <w:r>
        <w:rPr>
          <w:rFonts w:ascii="Arial" w:hAnsi="Arial"/>
          <w:color w:val="404040"/>
          <w:sz w:val="21"/>
        </w:rPr>
        <w:t>Un cambio en la forma de evaluar los riesgos del sistema financiero planteó este lunes laComisión para el Mercado Financiero (CMF) en su cuenta pública 2025.</w:t>
      </w:r>
    </w:p>
    <w:p>
      <w:pPr>
        <w:spacing w:before="40" w:after="60"/>
        <w:ind w:left="283"/>
      </w:pPr>
      <w:r>
        <w:rPr>
          <w:rFonts w:ascii="Arial" w:hAnsi="Arial"/>
          <w:color w:val="404040"/>
          <w:sz w:val="21"/>
        </w:rPr>
        <w:t>En la instancia, encabezada por su presidenta,Catherine Tornel,y con la presencia de autoridades como el subsecretario de Hacienda, Juan Pablo Rodríguez, y el coordinador de Mercado de Capitales, Eugenio Symon,advirtió que la irrupción de la inteligencia artificial (IA) está obligando a adaptar la supervisión con mayor rapidez y sofisticación.</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80 segundos de resultados de las grandes tecnológicas decidirán el destino del mercado bursátil</w:t>
      </w:r>
    </w:p>
    <w:p>
      <w:pPr>
        <w:spacing w:before="40" w:after="60"/>
        <w:ind w:left="283"/>
      </w:pPr>
      <w:r>
        <w:rPr>
          <w:rFonts w:ascii="Arial" w:hAnsi="Arial"/>
          <w:color w:val="404040"/>
          <w:sz w:val="21"/>
        </w:rPr>
        <w:t>Las cuatro empresas que presentan sus resultados esta tarde tras el cierre de Wall Street representan más del 15% de la capitalización bursátil total del S&amp;P 500, por lo que cualquier fluctuación podría afectar al índice. Los datos de opciones indican que hay más de US$ 750.000 millones en juego.</w:t>
      </w:r>
    </w:p>
    <w:p>
      <w:pPr>
        <w:spacing w:before="40" w:after="60"/>
        <w:ind w:left="283"/>
      </w:pPr>
      <w:r>
        <w:rPr>
          <w:rFonts w:ascii="Arial" w:hAnsi="Arial"/>
          <w:color w:val="404040"/>
          <w:sz w:val="21"/>
        </w:rPr>
        <w:t>Las cifras que se revelen tras el cierre en Wall Street tendrán consecuencias de gran alcance. (Foto: Bloomberg)</w:t>
      </w:r>
    </w:p>
    <w:p>
      <w:pPr>
        <w:spacing w:before="40" w:after="60"/>
        <w:ind w:left="283"/>
      </w:pPr>
      <w:r>
        <w:rPr>
          <w:rFonts w:ascii="Arial" w:hAnsi="Arial"/>
          <w:color w:val="404040"/>
          <w:sz w:val="21"/>
        </w:rPr>
        <w:t>Los inversionistas que buscan pistas sobre la dirección que tomará el mercado bursátil en las próximas semanas obtendráninformación crucial en cuanto finalice la sesión del miércoles a las 16 horas.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Dólar se dispara más de $ 10 en medio de fuerte avance del petróleo por temores de que EEUU insista en bloquear puertos iraníes en Ormuz</w:t>
      </w:r>
    </w:p>
    <w:p>
      <w:pPr>
        <w:spacing w:before="40" w:after="60"/>
        <w:ind w:left="283"/>
      </w:pPr>
      <w:r>
        <w:rPr>
          <w:rFonts w:ascii="Arial" w:hAnsi="Arial"/>
          <w:color w:val="404040"/>
          <w:sz w:val="21"/>
        </w:rPr>
        <w:t>El Banco Central mantuvo la tasa clave, como se esperaba, mostrándose alerta ante la posibilidad de que la inflación tome un carácter más estructural. A las 14:00 horas la Fed publicará su decisión, la última con Jerome Powell como presidente, para la que tampoco se prevén cambios de tasas de interés.</w:t>
      </w:r>
    </w:p>
    <w:p>
      <w:pPr>
        <w:spacing w:before="40" w:after="60"/>
        <w:ind w:left="283"/>
      </w:pPr>
      <w:r>
        <w:rPr>
          <w:rFonts w:ascii="Arial" w:hAnsi="Arial"/>
          <w:color w:val="404040"/>
          <w:sz w:val="21"/>
        </w:rPr>
        <w:t>El dólar-peso subía fuerte este miércoles, ya quese teme un estancamiento más prolongadode las negociaciones para reabrir el estrecho de Ormuz. Los participantes del mercado recogían además ladecisión de política del Banco Central de Chile, y esperaban el comunicado de la Reserva Federal estadounidense.</w:t>
      </w:r>
    </w:p>
    <w:p>
      <w:pPr>
        <w:spacing w:before="40" w:after="60"/>
        <w:ind w:left="283"/>
      </w:pPr>
      <w:r>
        <w:rPr>
          <w:rFonts w:ascii="Arial" w:hAnsi="Arial"/>
          <w:color w:val="404040"/>
          <w:sz w:val="21"/>
        </w:rPr>
        <w:t>La paridad local subía $ 11,1 hasta los $ 900,6 -máximos de la sesión- a media mañana. El dólar superó inicialmente este martes los $ 900, pero dicha marca propició una ola de ventas quelo hizo cerrar a la bajaen las pantallas de Bloomberg.</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IPSA vuelve a caer mientras el barril de Brent se acerca a US$ 120 por posible extensión del bloqueo de Ormuz</w:t>
      </w:r>
    </w:p>
    <w:p>
      <w:pPr>
        <w:spacing w:before="40" w:after="60"/>
        <w:ind w:left="283"/>
      </w:pPr>
      <w:r>
        <w:rPr>
          <w:rFonts w:ascii="Arial" w:hAnsi="Arial"/>
          <w:color w:val="404040"/>
          <w:sz w:val="21"/>
        </w:rPr>
        <w:t>La bolsa chilena viene de una fuerte caída de martes. Andina-B nadaba a contracorriente, tras informar que sus ventas crecieron levemente a $ 924 mil millones en el primer trimestre, mientras que la utilidad neta saltó 25% interanual a $ 99 mil millones.</w:t>
      </w:r>
    </w:p>
    <w:p>
      <w:pPr>
        <w:spacing w:before="40" w:after="60"/>
        <w:ind w:left="283"/>
      </w:pPr>
      <w:r>
        <w:rPr>
          <w:rFonts w:ascii="Arial" w:hAnsi="Arial"/>
          <w:color w:val="404040"/>
          <w:sz w:val="21"/>
        </w:rPr>
        <w:t>La Bolsa de Santiago hizo amagos de recuperación a mitad de semana, pero loscrecientes precios internacionales de la energíala están presionándola hacia abajo, tal como ocurre en la mayoría de los mercados bursátiles.</w:t>
      </w:r>
    </w:p>
    <w:p>
      <w:pPr>
        <w:spacing w:before="40" w:after="60"/>
        <w:ind w:left="283"/>
      </w:pPr>
      <w:r>
        <w:rPr>
          <w:rFonts w:ascii="Arial" w:hAnsi="Arial"/>
          <w:color w:val="404040"/>
          <w:sz w:val="21"/>
        </w:rPr>
        <w:t>Después decaer 2% este martes, el S&amp;P IPSA intentó recuperar terreno en los primeros negocios de este miércoles, pero rápidamente el alza se desvaneció. A esta hora,el índice caía 0,2% a 10.884,99 puntos, en gran medida por la influencia deFalabella (-1,3%) y Latam (-1,2%), acciones sensibles al conflicto en Medio Oriente.</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Grupo Santander España logra ganancias por US$ 6.384 millones al primer trimestre impulsados por venta de banco en Polonia</w:t>
      </w:r>
    </w:p>
    <w:p>
      <w:pPr>
        <w:spacing w:before="40" w:after="60"/>
        <w:ind w:left="283"/>
      </w:pPr>
      <w:r>
        <w:rPr>
          <w:rFonts w:ascii="Arial" w:hAnsi="Arial"/>
          <w:color w:val="404040"/>
          <w:sz w:val="21"/>
        </w:rPr>
        <w:t>La presidenta del holding, Ana Botín, destacó que la diversificación geográfica y de balance, junto con una gestión disciplinada del riesgo, siguen siendo fortalezas clave del negocio.</w:t>
      </w:r>
    </w:p>
    <w:p>
      <w:pPr>
        <w:spacing w:before="40" w:after="60"/>
        <w:ind w:left="283"/>
      </w:pPr>
      <w:r>
        <w:rPr>
          <w:rFonts w:ascii="Arial" w:hAnsi="Arial"/>
          <w:color w:val="404040"/>
          <w:sz w:val="21"/>
        </w:rPr>
        <w:t>El grupo financiero españolSantanderreportó este miércoles una utilidad de US$ 6.384 millones al primer trimestre, evidenciando un alza de 60% respecto de igual periodo en 2025, explicado principalmente por la venta deSantander Bank Polska.</w:t>
      </w:r>
    </w:p>
    <w:p>
      <w:pPr>
        <w:spacing w:before="40" w:after="60"/>
        <w:ind w:left="283"/>
      </w:pPr>
      <w:r>
        <w:rPr>
          <w:rFonts w:ascii="Arial" w:hAnsi="Arial"/>
          <w:color w:val="404040"/>
          <w:sz w:val="21"/>
        </w:rPr>
        <w:t>Al excluir los beneficios de la operación polaca, Santander logró ganancias por US$ 4.166 millones, esto es, un 12% más que en igual fecha en 2025, impulsado por la estrategia denominada "ONE", según afirmó el grupo español en un comunicado.</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Aseguradoras cerraron 2025 con récord de ventas de pólizas para vehículos: se emitieron más de 4 millones de seguros</w:t>
      </w:r>
    </w:p>
    <w:p>
      <w:pPr>
        <w:spacing w:before="40" w:after="60"/>
        <w:ind w:left="283"/>
      </w:pPr>
      <w:r>
        <w:rPr>
          <w:rFonts w:ascii="Arial" w:hAnsi="Arial"/>
          <w:color w:val="404040"/>
          <w:sz w:val="21"/>
        </w:rPr>
        <w:t>Sin considerar el SOAP, la industria alcanzó cifras nunca vistas. La mayor oferta fue uno de los motores del crecimiento.</w:t>
      </w:r>
    </w:p>
    <w:p>
      <w:pPr>
        <w:spacing w:before="40" w:after="60"/>
        <w:ind w:left="283"/>
      </w:pPr>
      <w:r>
        <w:rPr>
          <w:rFonts w:ascii="Arial" w:hAnsi="Arial"/>
          <w:color w:val="404040"/>
          <w:sz w:val="21"/>
        </w:rPr>
        <w:t>Uno de los negocios más relevantes en la industria de seguros generales es la línea de vehículos.</w:t>
      </w:r>
    </w:p>
    <w:p>
      <w:pPr>
        <w:spacing w:before="40" w:after="60"/>
        <w:ind w:left="283"/>
      </w:pPr>
      <w:r>
        <w:rPr>
          <w:rFonts w:ascii="Arial" w:hAnsi="Arial"/>
          <w:color w:val="404040"/>
          <w:sz w:val="21"/>
        </w:rPr>
        <w:t>Este producto voluntario, que no considera al Seguro Obligatorio de Accidentes Personales (SOAP), indemniza los daños que afecten a los automóviles como consecuencia de un accidente, robo o hurto, además de proteger si existen daños a terceros.</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¿Por qué la operación de Falabella en Perú podría ser un soporte para la acción?</w:t>
      </w:r>
    </w:p>
    <w:p>
      <w:pPr>
        <w:spacing w:before="40" w:after="60"/>
        <w:ind w:left="283"/>
      </w:pPr>
      <w:r>
        <w:rPr>
          <w:rFonts w:ascii="Arial" w:hAnsi="Arial"/>
          <w:color w:val="404040"/>
          <w:sz w:val="21"/>
        </w:rPr>
        <w:t>Itaú BBA elevó a $ 7.140 el precio objetivo de la acción y espera una recuperación hacia 2027.</w:t>
      </w:r>
    </w:p>
    <w:p>
      <w:pPr>
        <w:spacing w:before="40" w:after="60"/>
        <w:ind w:left="283"/>
      </w:pPr>
      <w:r>
        <w:rPr>
          <w:rFonts w:ascii="Arial" w:hAnsi="Arial"/>
          <w:color w:val="404040"/>
          <w:sz w:val="21"/>
        </w:rPr>
        <w:t>Falabella enfrentaría un 2026 desafiante, con una mayor presión inflacionaria que podría afectar el consumo.</w:t>
      </w:r>
    </w:p>
    <w:p>
      <w:pPr>
        <w:spacing w:before="40" w:after="60"/>
        <w:ind w:left="283"/>
      </w:pPr>
      <w:r>
        <w:rPr>
          <w:rFonts w:ascii="Arial" w:hAnsi="Arial"/>
          <w:color w:val="404040"/>
          <w:sz w:val="21"/>
        </w:rPr>
        <w:t>Sin embargo, para Itaú BBA, ese escenario no borra el atractivo de la acción: mantuvo una visión positiva, apoyada en el potencial de crecimiento hacia 2027.</w:t>
      </w:r>
    </w:p>
    <w:p>
      <w:pPr>
        <w:pBdr>
          <w:bottom w:val="single" w:sz="4" w:space="1" w:color="BDD7EE"/>
        </w:pBdr>
        <w:spacing w:before="80" w:after="80"/>
      </w:pPr>
    </w:p>
    <w:p>
      <w:pPr>
        <w:pStyle w:val="Heading2"/>
        <w:spacing w:before="200" w:after="80"/>
      </w:pPr>
      <w:r>
        <w:rPr>
          <w:rFonts w:ascii="Arial" w:hAnsi="Arial"/>
          <w:b/>
          <w:color w:val="2E75B6"/>
          <w:sz w:val="22"/>
        </w:rPr>
        <w:t xml:space="preserve">9.  </w:t>
      </w:r>
      <w:r>
        <w:rPr>
          <w:rFonts w:ascii="Arial" w:hAnsi="Arial"/>
          <w:b/>
          <w:color w:val="1F4E79"/>
          <w:sz w:val="22"/>
        </w:rPr>
        <w:t>CEO de Santander: “Estamos en condiciones para capturar las oportunidades de crecimiento del nuevo ciclo del país”</w:t>
      </w:r>
    </w:p>
    <w:p>
      <w:pPr>
        <w:spacing w:before="40" w:after="60"/>
        <w:ind w:left="283"/>
      </w:pPr>
      <w:r>
        <w:rPr>
          <w:rFonts w:ascii="Arial" w:hAnsi="Arial"/>
          <w:color w:val="404040"/>
          <w:sz w:val="21"/>
        </w:rPr>
        <w:t>Andrés Trautmann destacó la eficiencia y la estructura balanceada de ingresos de la entidad.</w:t>
      </w:r>
    </w:p>
    <w:p>
      <w:pPr>
        <w:spacing w:before="40" w:after="60"/>
        <w:ind w:left="283"/>
      </w:pPr>
      <w:r>
        <w:rPr>
          <w:rFonts w:ascii="Arial" w:hAnsi="Arial"/>
          <w:color w:val="404040"/>
          <w:sz w:val="21"/>
        </w:rPr>
        <w:t>El CEO y country manager de Santander Chile, Andrés Trautmann.</w:t>
      </w:r>
    </w:p>
    <w:p>
      <w:pPr>
        <w:spacing w:before="40" w:after="60"/>
        <w:ind w:left="283"/>
      </w:pPr>
      <w:r>
        <w:rPr>
          <w:rFonts w:ascii="Arial" w:hAnsi="Arial"/>
          <w:color w:val="404040"/>
          <w:sz w:val="21"/>
        </w:rPr>
        <w:t>El CEO y country manager de Banco Santander Chile, Andrés Trautmann, espera capitalizar el nuevo ciclo económico que se abre con el reciente cambio de gobierno.</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Los nombres y perfiles de los tres nuevos directores que aterrizarán en Enjoy</w:t>
      </w:r>
    </w:p>
    <w:p>
      <w:pPr>
        <w:spacing w:before="40" w:after="60"/>
        <w:ind w:left="283"/>
      </w:pPr>
      <w:r>
        <w:rPr>
          <w:rFonts w:ascii="Arial" w:hAnsi="Arial"/>
          <w:color w:val="404040"/>
          <w:sz w:val="21"/>
        </w:rPr>
        <w:t>En su junta de accionistas 2026, la firma designó a la dupla de ingenieros comerciales Jorge Morgado Astorquiza y Juan Eduardo García Newcomb; y al abogado Sebastián Alessandri Balbontín.</w:t>
      </w:r>
    </w:p>
    <w:p>
      <w:pPr>
        <w:spacing w:before="40" w:after="60"/>
        <w:ind w:left="283"/>
      </w:pPr>
      <w:r>
        <w:rPr>
          <w:rFonts w:ascii="Arial" w:hAnsi="Arial"/>
          <w:color w:val="404040"/>
          <w:sz w:val="21"/>
        </w:rPr>
        <w:t>Tres nuevos nombres se sumarán a la mesa directiva de Enjoy.</w:t>
      </w:r>
    </w:p>
    <w:p>
      <w:pPr>
        <w:spacing w:before="40" w:after="60"/>
        <w:ind w:left="283"/>
      </w:pPr>
      <w:r>
        <w:rPr>
          <w:rFonts w:ascii="Arial" w:hAnsi="Arial"/>
          <w:color w:val="404040"/>
          <w:sz w:val="21"/>
        </w:rPr>
        <w:t>Tres nuevos nombres se sumarán a la mesa directiva de Enjoy. Así lo comunicó la firma la operadora de casinos el martes de esta semana ante la Comisión para el Mercado Financiero, donde –en el marco de su junta de accionistas 2026– se oficializó la llegada deSebastián Alessandri Balbontín, Jorge Morgado Astorquiza y Juan Eduardo García Newcomb.</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Tras años de espera MTT alista contrato para consorcio que se adjudicó licitación por pago electrónico en microbuses del Gran Valpo</w:t>
      </w:r>
    </w:p>
    <w:p>
      <w:pPr>
        <w:spacing w:before="40" w:after="60"/>
        <w:ind w:left="283"/>
      </w:pPr>
      <w:r>
        <w:rPr>
          <w:rFonts w:ascii="Arial" w:hAnsi="Arial"/>
          <w:color w:val="404040"/>
          <w:sz w:val="21"/>
        </w:rPr>
        <w:t>La cartera está ahora en etapa de recepción de antecedentes para formalizar el acuerdo, que debería firmarse el 13 de mayo. La licitación, adjudicada a Consorcio Recaudo Gran Valparaíso contempla la instalación de 2 mil validadores, una red de puntos de venta y carga, y la puesta en marcha de un administrador financiero que recaude y distribuya entre operadores ingresos estimados en $ 6 mil millones mensuales.</w:t>
      </w:r>
    </w:p>
    <w:p>
      <w:pPr>
        <w:spacing w:before="40" w:after="60"/>
        <w:ind w:left="283"/>
      </w:pPr>
      <w:r>
        <w:rPr>
          <w:rFonts w:ascii="Arial" w:hAnsi="Arial"/>
          <w:color w:val="404040"/>
          <w:sz w:val="21"/>
        </w:rPr>
        <w:t>El Ministerio de Transportes y Telecomunicaciones (MTT) está preparando el contrato que firmará junto aConsorcio Recaudo Gran Valparaíso, agrupación de seis empresas que el 19 de febrerose adjudicó la licitación para implementar un sistema de pago electrónicoen 1.952 buses del transporte público regulado en las comunas deValparaíso, Viña del Mar, Concón, Quilpué, Villa Alemana, Quintero y Puchuncaví, los cuales recaudan, en su conjunto, unos $ 6.350 millonesmensuales.</w:t>
      </w:r>
    </w:p>
    <w:p>
      <w:pPr>
        <w:spacing w:before="40" w:after="60"/>
        <w:ind w:left="283"/>
      </w:pPr>
      <w:r>
        <w:rPr>
          <w:rFonts w:ascii="Arial" w:hAnsi="Arial"/>
          <w:color w:val="404040"/>
          <w:sz w:val="21"/>
        </w:rPr>
        <w:t>El convenio contempla la instalación de “dispositivos de validaciónque permitirán a los usuarios pagar su pasaje a través de tarjetas de transporte,códigos QR y tarjetas bancarias, además de la aplicación de tarifas rebajadas para los grupos de personas mayores (Tarjeta Adulto Mayor) y estudiantes (Tarjeta Nacional Estudiantil”)”, detalló el MTT a DF Regiones.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Ventas de Viña Santa Rita alcanzaron $ 30.606 millones el primer trimestre</w:t>
      </w:r>
    </w:p>
    <w:p>
      <w:pPr>
        <w:spacing w:before="40" w:after="60"/>
        <w:ind w:left="283"/>
      </w:pPr>
      <w:r>
        <w:rPr>
          <w:rFonts w:ascii="Arial" w:hAnsi="Arial"/>
          <w:color w:val="404040"/>
          <w:sz w:val="21"/>
        </w:rPr>
        <w:t>La compañía reportó pérdidas por $ 3.888 millones en el período.</w:t>
      </w:r>
    </w:p>
    <w:p>
      <w:pPr>
        <w:spacing w:before="40" w:after="60"/>
        <w:ind w:left="283"/>
      </w:pPr>
      <w:r>
        <w:rPr>
          <w:rFonts w:ascii="Arial" w:hAnsi="Arial"/>
          <w:color w:val="404040"/>
          <w:sz w:val="21"/>
        </w:rPr>
        <w:t>Entre enero y marzo de 2026, Viña Santa Rita y sus filiales alcanzaron ventas por $ 30.606 millones, lo que representa una disminución del 1,7% frente al mismo lapso de 2025.</w:t>
      </w:r>
    </w:p>
    <w:p>
      <w:pPr>
        <w:spacing w:before="40" w:after="60"/>
        <w:ind w:left="283"/>
      </w:pPr>
      <w:r>
        <w:rPr>
          <w:rFonts w:ascii="Arial" w:hAnsi="Arial"/>
          <w:color w:val="404040"/>
          <w:sz w:val="21"/>
        </w:rPr>
        <w:t>En exportaciones desde Chile, la facturación en dólares creció 1,9% durante el primer trimestre del año, impulsada por un alza de 3,3% en el precio promedio, parcialmente compensada por una disminución de 1,4% en volumen. En pesos, la facturación disminuyó $ 486 millones (-4,2%), afectada por el tipo de cambio, que promedió $ 891 en marzo de 2026 versus $ 949 en igual mes de 2025.</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Radiografía al fin de las contribuciones para adultos mayores: las zonas donde más se sentirá la apuesta del Gobierno</w:t>
      </w:r>
    </w:p>
    <w:p>
      <w:pPr>
        <w:spacing w:before="40" w:after="60"/>
        <w:ind w:left="283"/>
      </w:pPr>
      <w:r>
        <w:rPr>
          <w:rFonts w:ascii="Arial" w:hAnsi="Arial"/>
          <w:color w:val="404040"/>
          <w:sz w:val="21"/>
        </w:rPr>
        <w:t>El beneficio para mayores de 65 años alcanzaría a 271 mil viviendas que hoy pagan en conjunto $ 241 mil millones al año en este gravamen. El mayor efecto se concentra en Las Condes, Vitacura y Lo Barnechea.</w:t>
      </w:r>
    </w:p>
    <w:p>
      <w:pPr>
        <w:spacing w:before="40" w:after="60"/>
        <w:ind w:left="283"/>
      </w:pPr>
      <w:r>
        <w:rPr>
          <w:rFonts w:ascii="Arial" w:hAnsi="Arial"/>
          <w:color w:val="404040"/>
          <w:sz w:val="21"/>
        </w:rPr>
        <w:t>Uno de los ejes delplan de reconstrucción y reactivación impulsado por el gobierno apunta a las contribuciones.</w:t>
      </w:r>
    </w:p>
    <w:p>
      <w:pPr>
        <w:spacing w:before="40" w:after="60"/>
        <w:ind w:left="283"/>
      </w:pPr>
      <w:r>
        <w:rPr>
          <w:rFonts w:ascii="Arial" w:hAnsi="Arial"/>
          <w:color w:val="404040"/>
          <w:sz w:val="21"/>
        </w:rPr>
        <w:t>En concreto,el proyecto de ley propone eliminar el pago de este gravamen territorial para la primera vivienda de personas mayores de 65 años. La exención aplicará a un inmueble en todo el territorio nacional, siempre que corresponda a la residencia principal del beneficiario.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Gobierno alista indicaciones a reforma al SEIA y SEA descarta publicar nuevas guías en el corto plazo</w:t>
      </w:r>
    </w:p>
    <w:p>
      <w:pPr>
        <w:spacing w:before="40" w:after="60"/>
        <w:ind w:left="283"/>
      </w:pPr>
      <w:r>
        <w:rPr>
          <w:rFonts w:ascii="Arial" w:hAnsi="Arial"/>
          <w:color w:val="404040"/>
          <w:sz w:val="21"/>
        </w:rPr>
        <w:t>Desde Medio Ambiente adelantaron que se buscará perfeccionar el texto y presentarán ajustes en lo relativo al sistema recursivo en materia ambiental.</w:t>
      </w:r>
    </w:p>
    <w:p>
      <w:pPr>
        <w:spacing w:before="40" w:after="60"/>
        <w:ind w:left="283"/>
      </w:pPr>
      <w:r>
        <w:rPr>
          <w:rFonts w:ascii="Arial" w:hAnsi="Arial"/>
          <w:color w:val="404040"/>
          <w:sz w:val="21"/>
        </w:rPr>
        <w:t>Arturo Farías, director ejecutivo del Servicio de Evaluación Ambiental (SEA).</w:t>
      </w:r>
    </w:p>
    <w:p>
      <w:pPr>
        <w:spacing w:before="40" w:after="60"/>
        <w:ind w:left="283"/>
      </w:pPr>
      <w:r>
        <w:rPr>
          <w:rFonts w:ascii="Arial" w:hAnsi="Arial"/>
          <w:color w:val="404040"/>
          <w:sz w:val="21"/>
        </w:rPr>
        <w:t>No era evidente, pero finalmente -tras el aterrizaje del nuevo gobierno- se retomó la discusión de la reforma al Sistema de Evaluación de Impacto Ambiental (SEIA) en el Congreso, articulado que fue ingresado por la administración anterior y que logró avanzar a fases de votación.</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Propuestas de reactivación económica llevan a Echeverría Izquierdo a elevar en 75% su inversión para 2026</w:t>
      </w:r>
    </w:p>
    <w:p>
      <w:pPr>
        <w:spacing w:before="40" w:after="60"/>
        <w:ind w:left="283"/>
      </w:pPr>
      <w:r>
        <w:rPr>
          <w:rFonts w:ascii="Arial" w:hAnsi="Arial"/>
          <w:color w:val="404040"/>
          <w:sz w:val="21"/>
        </w:rPr>
        <w:t>La firma destinará US$ 120 millones a minería y al rubro inmobiliario, apalancada además por el nuevo ciclo extractivo.</w:t>
      </w:r>
    </w:p>
    <w:p>
      <w:pPr>
        <w:spacing w:before="40" w:after="60"/>
        <w:ind w:left="283"/>
      </w:pPr>
      <w:r>
        <w:rPr>
          <w:rFonts w:ascii="Arial" w:hAnsi="Arial"/>
          <w:color w:val="404040"/>
          <w:sz w:val="21"/>
        </w:rPr>
        <w:t>Echeverría Izquierdo entró a 2026 con una apuesta más agresiva en inversión. Para este ejercicio, la compañía prevé desembolsar cerca de US$ 120 millones, cifra que representa un alza de 75% frente a lo invertido durante 2025.</w:t>
      </w:r>
    </w:p>
    <w:p>
      <w:pPr>
        <w:spacing w:before="40" w:after="60"/>
        <w:ind w:left="283"/>
      </w:pPr>
      <w:r>
        <w:rPr>
          <w:rFonts w:ascii="Arial" w:hAnsi="Arial"/>
          <w:color w:val="404040"/>
          <w:sz w:val="21"/>
        </w:rPr>
        <w:t>Según detalló el presidente de la firma, Fernando Echeverría, una parte de esos recursos estará destinada a la compra de equipos y al desarrollo de tecnología para minería. El resto se enfocará en proyectos inmobiliarios orientados a la clase media, tanto en Chile como en Perú.</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Quiroz reconoce su admiración por los exministros Büchi y Foxley: "Salieron airosos con patriotismo y orden"</w:t>
      </w:r>
    </w:p>
    <w:p>
      <w:pPr>
        <w:spacing w:before="40" w:after="60"/>
        <w:ind w:left="283"/>
      </w:pPr>
      <w:r>
        <w:rPr>
          <w:rFonts w:ascii="Arial" w:hAnsi="Arial"/>
          <w:color w:val="404040"/>
          <w:sz w:val="21"/>
        </w:rPr>
        <w:t>En la junta anual de la Fundación P!ensa, el ministro de Hacienda también contestó las críticas de algunos economistas a sus medidas con una frase de El Quijote de la Mancha.</w:t>
      </w:r>
    </w:p>
    <w:p>
      <w:pPr>
        <w:spacing w:before="40" w:after="60"/>
        <w:ind w:left="283"/>
      </w:pPr>
      <w:r>
        <w:rPr>
          <w:rFonts w:ascii="Arial" w:hAnsi="Arial"/>
          <w:color w:val="404040"/>
          <w:sz w:val="21"/>
        </w:rPr>
        <w:t>En el Valparaíso Sporting de Viña del Mar se realizó este martes la junta anual de la Fundación P!ensa.</w:t>
      </w:r>
    </w:p>
    <w:p>
      <w:pPr>
        <w:spacing w:before="40" w:after="60"/>
        <w:ind w:left="283"/>
      </w:pPr>
      <w:r>
        <w:rPr>
          <w:rFonts w:ascii="Arial" w:hAnsi="Arial"/>
          <w:color w:val="404040"/>
          <w:sz w:val="21"/>
        </w:rPr>
        <w:t>Junto con dar a conocer los lineamientos centrales del proyecto de reactivación y reconstrucción económica, el secretario de Estado comentó lo que han sido sus primeras semanas en el cargo yreveló que siente admiración por dos exministros de Hacienda de signos opuestos: Hernán Büchi (entre 1985 y 1989 con Augusto Pinochet) y Alejandro Foxley (entre 1990 y 1994 con Patricio Aylwin).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Jaime Mulet (FRVS) alerta que invariabilidad tributaria “viola el mandato presidencial de cuatro años, salvo que se haga a través de una reforma constitucional”</w:t>
      </w:r>
    </w:p>
    <w:p>
      <w:pPr>
        <w:spacing w:before="40" w:after="60"/>
        <w:ind w:left="283"/>
      </w:pPr>
      <w:r>
        <w:rPr>
          <w:rFonts w:ascii="Arial" w:hAnsi="Arial"/>
          <w:color w:val="404040"/>
          <w:sz w:val="21"/>
        </w:rPr>
        <w:t>El diputado adelanta que “en particular, así como está, yo no estoy dispuesto a apoyar este artículo”, como parte del proyecto de reconstrucción del gobierno.</w:t>
      </w:r>
    </w:p>
    <w:p>
      <w:pPr>
        <w:spacing w:before="40" w:after="60"/>
        <w:ind w:left="283"/>
      </w:pPr>
      <w:r>
        <w:rPr>
          <w:rFonts w:ascii="Arial" w:hAnsi="Arial"/>
          <w:color w:val="404040"/>
          <w:sz w:val="21"/>
        </w:rPr>
        <w:t>Diputado Jaime Mulet (FRVS), presidente de la Comisión de Constitución de la Cámara. (Foto: Aton Chile)</w:t>
      </w:r>
    </w:p>
    <w:p>
      <w:pPr>
        <w:spacing w:before="40" w:after="60"/>
        <w:ind w:left="283"/>
      </w:pPr>
      <w:r>
        <w:rPr>
          <w:rFonts w:ascii="Arial" w:hAnsi="Arial"/>
          <w:color w:val="404040"/>
          <w:sz w:val="21"/>
        </w:rPr>
        <w:t>El diputado fundador del partido Federación Regionalista Verde Social (FRVS), Jaiem Mulet, por estos días celebra que el Tricel le haya dado la razón en su apelación por la disolución ordenada por el Servel, por lo que la colectividad sigue vigente. Cerrada esa preocupación, ahoraestá concentrado en el proyecto de reactivación económica del gobierno y, particularmente, en lo que respecta al ya polémico artículo que se refiere a la invariabilidad tributaria por 25 años.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Tasa de desocupación nacional sube a 8,9% en enero-marzo de 2026 y en mujeres se dispara a 10%</w:t>
      </w:r>
    </w:p>
    <w:p>
      <w:pPr>
        <w:spacing w:before="40" w:after="60"/>
        <w:ind w:left="283"/>
      </w:pPr>
      <w:r>
        <w:rPr>
          <w:rFonts w:ascii="Arial" w:hAnsi="Arial"/>
          <w:color w:val="404040"/>
          <w:sz w:val="21"/>
        </w:rPr>
        <w:t>En 12 meses, la tasa nacional registró un ascenso de 0,2 puntos porcentuales (pp.), producto del alza de la fuerza de trabajo (0,7%), mayor a la presentada por las personas ocupadas (0,5%), informó el INE.</w:t>
      </w:r>
    </w:p>
    <w:p>
      <w:pPr>
        <w:spacing w:before="40" w:after="60"/>
        <w:ind w:left="283"/>
      </w:pPr>
      <w:r>
        <w:rPr>
          <w:rFonts w:ascii="Arial" w:hAnsi="Arial"/>
          <w:color w:val="404040"/>
          <w:sz w:val="21"/>
        </w:rPr>
        <w:t>Noticias poco alentadoras trajo la última edición de la Encuesta Nacional de Empleo (ENE) que elabora el Instituto Nacional de Estadísticas (INE).</w:t>
      </w:r>
    </w:p>
    <w:p>
      <w:pPr>
        <w:spacing w:before="40" w:after="60"/>
        <w:ind w:left="283"/>
      </w:pPr>
      <w:r>
        <w:rPr>
          <w:rFonts w:ascii="Arial" w:hAnsi="Arial"/>
          <w:color w:val="404040"/>
          <w:sz w:val="21"/>
        </w:rPr>
        <w:t>De acuerdo a la entidad,en el trimestre enero - marzo de 2026 la tasa de desocupación nacional se ubicó en 8,9%, una cifra que es 0,2 puntos porcentuales (pp.) mayor en comparación con el mismo período de 2025.</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Gonzalo Bofill por proyecto de reconstrucción: “Esta reforma va en la dirección correcta…sin crecimiento no hay políticas sociales sostenibles”</w:t>
      </w:r>
    </w:p>
    <w:p>
      <w:pPr>
        <w:spacing w:before="40" w:after="60"/>
        <w:ind w:left="283"/>
      </w:pPr>
      <w:r>
        <w:rPr>
          <w:rFonts w:ascii="Arial" w:hAnsi="Arial"/>
          <w:color w:val="404040"/>
          <w:sz w:val="21"/>
        </w:rPr>
        <w:t>El empresario llamó a políticos y autoridades a lograr acuerdos porque “la historia muestra que el desarrollo no está asegurado y países que en algún momento fueron referentes terminaron perdiendo su lugar”.</w:t>
      </w:r>
    </w:p>
    <w:p>
      <w:pPr>
        <w:spacing w:before="40" w:after="60"/>
        <w:ind w:left="283"/>
      </w:pPr>
      <w:r>
        <w:rPr>
          <w:rFonts w:ascii="Arial" w:hAnsi="Arial"/>
          <w:color w:val="404040"/>
          <w:sz w:val="21"/>
        </w:rPr>
        <w:t>En su calidad de timonel de la Fundación P!ensa de la Región de Valparaíso, Bofill valoró el proyecto de reactivación.</w:t>
      </w:r>
    </w:p>
    <w:p>
      <w:pPr>
        <w:spacing w:before="40" w:after="60"/>
        <w:ind w:left="283"/>
      </w:pPr>
      <w:r>
        <w:rPr>
          <w:rFonts w:ascii="Arial" w:hAnsi="Arial"/>
          <w:color w:val="404040"/>
          <w:sz w:val="21"/>
        </w:rPr>
        <w:t>El presidente de empresas Carozzi, Gonzalo Bofill, en su calidad de timonel de la Fundación P!ensa de la Región de Valparaíso valoró el proyecto de reactivación y reconstrucciónpresentado por el gobierno afirmando que luego de años de mal desempeño económico como país “hoy hay motivos para pensar en un cambio, volver a crecer y recuperar la responsabilidad fiscal”.</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Quiroz trata de contener polémica por oficio de la Dipres y desestima opción de dividir proyecto de reconstrucción</w:t>
      </w:r>
    </w:p>
    <w:p>
      <w:pPr>
        <w:spacing w:before="40" w:after="60"/>
        <w:ind w:left="283"/>
      </w:pPr>
      <w:r>
        <w:rPr>
          <w:rFonts w:ascii="Arial" w:hAnsi="Arial"/>
          <w:color w:val="404040"/>
          <w:sz w:val="21"/>
        </w:rPr>
        <w:t>El ministro enfatizó que se mantendrá el apoyo a la alimentación escolar, defendió el crédito tributario y destacó su relación con sus pares de La Moneda.</w:t>
      </w:r>
    </w:p>
    <w:p>
      <w:pPr>
        <w:spacing w:before="40" w:after="60"/>
        <w:ind w:left="283"/>
      </w:pPr>
      <w:r>
        <w:rPr>
          <w:rFonts w:ascii="Arial" w:hAnsi="Arial"/>
          <w:color w:val="404040"/>
          <w:sz w:val="21"/>
        </w:rPr>
        <w:t>El ministro Quiroz participó la tarde de este martes en un evento de la Fundación Piensa en Viña del Mar.</w:t>
      </w:r>
    </w:p>
    <w:p>
      <w:pPr>
        <w:spacing w:before="40" w:after="60"/>
        <w:ind w:left="283"/>
      </w:pPr>
      <w:r>
        <w:rPr>
          <w:rFonts w:ascii="Arial" w:hAnsi="Arial"/>
          <w:color w:val="404040"/>
          <w:sz w:val="21"/>
        </w:rPr>
        <w:t>Una jornada marcada por la polémica que se generó a partir del oficio que la Dirección de Presupuestos envió a los ministerios con la sugerencia de “descontinuar” ciertos programas, incluido la Junta Nacional de Auxilio Escolar y Becas (Junaeb), protagonizó el ministro de Hacienda, Jorge Quiroz, este martes.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Hacienda afina convocatoria a equipos técnicos por cambios tributarios a régimen de las PYME</w:t>
      </w:r>
    </w:p>
    <w:p>
      <w:pPr>
        <w:spacing w:before="40" w:after="60"/>
        <w:ind w:left="283"/>
      </w:pPr>
      <w:r>
        <w:rPr>
          <w:rFonts w:ascii="Arial" w:hAnsi="Arial"/>
          <w:color w:val="404040"/>
          <w:sz w:val="21"/>
        </w:rPr>
        <w:t>El coordinador de Política Tributaria de la cartera, Sebastián Vallebona, abordó el tema en el marco de un seminario sobre competitividad tributaria.</w:t>
      </w:r>
    </w:p>
    <w:p>
      <w:pPr>
        <w:spacing w:before="40" w:after="60"/>
        <w:ind w:left="283"/>
      </w:pPr>
      <w:r>
        <w:rPr>
          <w:rFonts w:ascii="Arial" w:hAnsi="Arial"/>
          <w:color w:val="404040"/>
          <w:sz w:val="21"/>
        </w:rPr>
        <w:t>El evento fue organizado por Tax Foundation, PwC, Fesit y el Colegio de Contadores y moderado por DF.</w:t>
      </w:r>
    </w:p>
    <w:p>
      <w:pPr>
        <w:spacing w:before="40" w:after="60"/>
        <w:ind w:left="283"/>
      </w:pPr>
      <w:r>
        <w:rPr>
          <w:rFonts w:ascii="Arial" w:hAnsi="Arial"/>
          <w:color w:val="404040"/>
          <w:sz w:val="21"/>
        </w:rPr>
        <w:t>El coordinador de Políticas Tributarias del Ministerio de Hacienda, Sebastián Vallebona, defendió este martes el paquete de medidas tributarias contenido en el plan de reconstrucción nacional y desarrollo económico ingresado por el gobierno al Congreso.</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La recaudación de contribuciones de bienes raíces se contrajo en 2025, un hito que no se veía desde la pandemia</w:t>
      </w:r>
    </w:p>
    <w:p>
      <w:pPr>
        <w:spacing w:before="40" w:after="60"/>
        <w:ind w:left="283"/>
      </w:pPr>
      <w:r>
        <w:rPr>
          <w:rFonts w:ascii="Arial" w:hAnsi="Arial"/>
          <w:color w:val="404040"/>
          <w:sz w:val="21"/>
        </w:rPr>
        <w:t>Las Condes lideró al explicar un 9,8% del total. Le siguió Lo Barnechea, Santiago, Vitacura, Providencia, Colina, Viña del Mar, Antofagasta, Ñuñoa y Pudahuel.</w:t>
      </w:r>
    </w:p>
    <w:p>
      <w:pPr>
        <w:spacing w:before="40" w:after="60"/>
        <w:ind w:left="283"/>
      </w:pPr>
      <w:r>
        <w:rPr>
          <w:rFonts w:ascii="Arial" w:hAnsi="Arial"/>
          <w:color w:val="404040"/>
          <w:sz w:val="21"/>
        </w:rPr>
        <w:t>Los impuestos han sido una parte central de la discusión delproyecto de ley de reconstrucción y reactivación nacional,ingresado al Congreso hace una semanapor el gobierno de José Antonio Kast.</w:t>
      </w:r>
    </w:p>
    <w:p>
      <w:pPr>
        <w:spacing w:before="40" w:after="60"/>
        <w:ind w:left="283"/>
      </w:pPr>
      <w:r>
        <w:rPr>
          <w:rFonts w:ascii="Arial" w:hAnsi="Arial"/>
          <w:color w:val="404040"/>
          <w:sz w:val="21"/>
        </w:rPr>
        <w:t>La propuesta recorta el impuesto corporativo de 27% a 23%; reintegra el sistema de renta para compañías y sociedades; elimina el tributo a las ganancias de capital en operaciones bursátiles; crea un crédito tributario para la retención y formalización de trabajadores; suspende por un año el IVA a la vivienda; amplía el beneficio tributario para las propiedades económicas DFL-2; y un mecanismo de invariabilidad tributaria por 25 años para inversiones superiores a US$ 50 millones, por solo mencionar algunos.</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Oposición contraataca e incluye el informe financiero entre las 23 inconsistencias que detecta en la propuesta de reactivación</w:t>
      </w:r>
    </w:p>
    <w:p>
      <w:pPr>
        <w:spacing w:before="40" w:after="60"/>
        <w:ind w:left="283"/>
      </w:pPr>
      <w:r>
        <w:rPr>
          <w:rFonts w:ascii="Arial" w:hAnsi="Arial"/>
          <w:color w:val="404040"/>
          <w:sz w:val="21"/>
        </w:rPr>
        <w:t>La minuta elaborada por asesores fue presentada en el marco de la mesa de representantes técnicos ayer en Teatinos 120.</w:t>
      </w:r>
    </w:p>
    <w:p>
      <w:pPr>
        <w:spacing w:before="40" w:after="60"/>
        <w:ind w:left="283"/>
      </w:pPr>
      <w:r>
        <w:rPr>
          <w:rFonts w:ascii="Arial" w:hAnsi="Arial"/>
          <w:color w:val="404040"/>
          <w:sz w:val="21"/>
        </w:rPr>
        <w:t>Los asesores de oposición han sostenido reuniones también con sus partidos en las últimas semanas. Foto: Aton.</w:t>
      </w:r>
    </w:p>
    <w:p>
      <w:pPr>
        <w:spacing w:before="40" w:after="60"/>
        <w:ind w:left="283"/>
      </w:pPr>
      <w:r>
        <w:rPr>
          <w:rFonts w:ascii="Arial" w:hAnsi="Arial"/>
          <w:color w:val="404040"/>
          <w:sz w:val="21"/>
        </w:rPr>
        <w:t>Este martes, la primera reunión técnica entre representantes de Hacienda y los representantes de parlamentarios de la comisión del ramo de la Cámara de Diputados por el proyecto de reactivación y reconstrucción, estuvo marcada por una situación particular. Asesores de oposición llegaron a la cita con una minuta de 14 páginas donde advierten a sus contrapartes una serie de problemáticas, apuntando también al informe financiero del texto y que fue elaborado por la Dirección de Presupuestos (Dipres).</w:t>
      </w:r>
    </w:p>
    <w:p>
      <w:pPr>
        <w:pBdr>
          <w:bottom w:val="single" w:sz="4" w:space="1" w:color="BDD7EE"/>
        </w:pBdr>
        <w:spacing w:before="80" w:after="80"/>
      </w:pPr>
    </w:p>
    <w:p>
      <w:pPr>
        <w:pStyle w:val="Heading2"/>
        <w:spacing w:before="200" w:after="80"/>
      </w:pPr>
      <w:r>
        <w:rPr>
          <w:rFonts w:ascii="Arial" w:hAnsi="Arial"/>
          <w:b/>
          <w:color w:val="2E75B6"/>
          <w:sz w:val="22"/>
        </w:rPr>
        <w:t xml:space="preserve">9.  </w:t>
      </w:r>
      <w:r>
        <w:rPr>
          <w:rFonts w:ascii="Arial" w:hAnsi="Arial"/>
          <w:b/>
          <w:color w:val="1F4E79"/>
          <w:sz w:val="22"/>
        </w:rPr>
        <w:t>Ipsos: alza de los combustibles borró el repunte de la confianza de los consumidores</w:t>
      </w:r>
    </w:p>
    <w:p>
      <w:pPr>
        <w:spacing w:before="40" w:after="60"/>
        <w:ind w:left="283"/>
      </w:pPr>
      <w:r>
        <w:rPr>
          <w:rFonts w:ascii="Arial" w:hAnsi="Arial"/>
          <w:color w:val="404040"/>
          <w:sz w:val="21"/>
        </w:rPr>
        <w:t>El desánimo se constató en diversas dimensiones medidas, incluida la relativa a las expectativas, que perdió 18 escalones. El mundo acusó el mismo golpe.</w:t>
      </w:r>
    </w:p>
    <w:p>
      <w:pPr>
        <w:spacing w:before="40" w:after="60"/>
        <w:ind w:left="283"/>
      </w:pPr>
      <w:r>
        <w:rPr>
          <w:rFonts w:ascii="Arial" w:hAnsi="Arial"/>
          <w:color w:val="404040"/>
          <w:sz w:val="21"/>
        </w:rPr>
        <w:t>Una brusca caída de 7,5 puntos acusó el Índice de Confianza del Consumidor (CCI, por su sigla en inglés) de Ipsos durante este mes respecto a lo ocurrido en marzo para retroceder hasta los 41,3 puntos.</w:t>
      </w:r>
    </w:p>
    <w:p>
      <w:pPr>
        <w:spacing w:before="40" w:after="60"/>
        <w:ind w:left="283"/>
      </w:pPr>
      <w:r>
        <w:rPr>
          <w:rFonts w:ascii="Arial" w:hAnsi="Arial"/>
          <w:color w:val="404040"/>
          <w:sz w:val="21"/>
        </w:rPr>
        <w:t>De hecho, se trató del segundo descenso más pronunciado entre las 30 economías que considera la medición, según hizo ver el reporte de la empresa en Chile. Dado este desempeño, cayó siete puestos en la clasificación de naciones hasta el puesto 24.</w:t>
      </w:r>
    </w:p>
    <w:p>
      <w:pPr>
        <w:pBdr>
          <w:bottom w:val="single" w:sz="4" w:space="1" w:color="BDD7EE"/>
        </w:pBdr>
        <w:spacing w:before="80" w:after="80"/>
      </w:pPr>
    </w:p>
    <w:p>
      <w:pPr>
        <w:pStyle w:val="Heading2"/>
        <w:spacing w:before="200" w:after="80"/>
      </w:pPr>
      <w:r>
        <w:rPr>
          <w:rFonts w:ascii="Arial" w:hAnsi="Arial"/>
          <w:b/>
          <w:color w:val="2E75B6"/>
          <w:sz w:val="22"/>
        </w:rPr>
        <w:t xml:space="preserve">10.  </w:t>
      </w:r>
      <w:r>
        <w:rPr>
          <w:rFonts w:ascii="Arial" w:hAnsi="Arial"/>
          <w:b/>
          <w:color w:val="1F4E79"/>
          <w:sz w:val="22"/>
        </w:rPr>
        <w:t>“Tanto necesarias como atractivas”: cámaras extranjeras valoran foco en inversión en proyecto del gobierno</w:t>
      </w:r>
    </w:p>
    <w:p>
      <w:pPr>
        <w:spacing w:before="40" w:after="60"/>
        <w:ind w:left="283"/>
      </w:pPr>
      <w:r>
        <w:rPr>
          <w:rFonts w:ascii="Arial" w:hAnsi="Arial"/>
          <w:color w:val="404040"/>
          <w:sz w:val="21"/>
        </w:rPr>
        <w:t>Seis asociaciones comerciales expusieron su visión acerca de la invariabilidad tributaria y la reducción en tiempos de permisos sectoriales.</w:t>
      </w:r>
    </w:p>
    <w:p>
      <w:pPr>
        <w:spacing w:before="40" w:after="60"/>
        <w:ind w:left="283"/>
      </w:pPr>
      <w:r>
        <w:rPr>
          <w:rFonts w:ascii="Arial" w:hAnsi="Arial"/>
          <w:color w:val="404040"/>
          <w:sz w:val="21"/>
        </w:rPr>
        <w:t>Acompañado de ministros, el Presidente Kast firmó el proyecto el miércoles pasado. Foto: Presidencia.</w:t>
      </w:r>
    </w:p>
    <w:p>
      <w:pPr>
        <w:spacing w:before="40" w:after="60"/>
        <w:ind w:left="283"/>
      </w:pPr>
      <w:r>
        <w:rPr>
          <w:rFonts w:ascii="Arial" w:hAnsi="Arial"/>
          <w:color w:val="404040"/>
          <w:sz w:val="21"/>
        </w:rPr>
        <w:t>Las medidas proinversión incluidas por el gobierno en elproyecto de ley de reconstrucción y reactivaciónde la economía recibieron el visto bueno de parte de lacámaras de comercio internacionales.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Kevin Warsh queda a un paso de convertirse en presidente de la Fed: comité bancario del Senado aprobó su nominación</w:t>
      </w:r>
    </w:p>
    <w:p>
      <w:pPr>
        <w:spacing w:before="40" w:after="60"/>
        <w:ind w:left="283"/>
      </w:pPr>
      <w:r>
        <w:rPr>
          <w:rFonts w:ascii="Arial" w:hAnsi="Arial"/>
          <w:color w:val="404040"/>
          <w:sz w:val="21"/>
        </w:rPr>
        <w:t>Tras una votación dividida, el elegido por Donald Trump debe enfrentar la votación del pleno del Senado.</w:t>
      </w:r>
    </w:p>
    <w:p>
      <w:pPr>
        <w:spacing w:before="40" w:after="60"/>
        <w:ind w:left="283"/>
      </w:pPr>
      <w:r>
        <w:rPr>
          <w:rFonts w:ascii="Arial" w:hAnsi="Arial"/>
          <w:color w:val="404040"/>
          <w:sz w:val="21"/>
        </w:rPr>
        <w:t>En una jornada de definición de política monetaria en Estados Unidos,Kevin Warsh quedó a un paso de convertirse en el próximo presidente de la Reserva Federal, tras la aprobación de su nominación en el comité Bancario del Senado estadounidense.</w:t>
      </w:r>
    </w:p>
    <w:p>
      <w:pPr>
        <w:spacing w:before="40" w:after="60"/>
        <w:ind w:left="283"/>
      </w:pPr>
      <w:r>
        <w:rPr>
          <w:rFonts w:ascii="Arial" w:hAnsi="Arial"/>
          <w:color w:val="404040"/>
          <w:sz w:val="21"/>
        </w:rPr>
        <w:t>En la sesión que se esperaba favorable para el nominado de Donald Trump,los 13 senadores republicanos dieron su visto bueno, mientras que los 11 demócratas lo rechazaron.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Abra Group afirma que inversión de American Airlines en brasileña Azul tiene como objetivo controlar la aerolínea</w:t>
      </w:r>
    </w:p>
    <w:p>
      <w:pPr>
        <w:spacing w:before="40" w:after="60"/>
        <w:ind w:left="283"/>
      </w:pPr>
      <w:r>
        <w:rPr>
          <w:rFonts w:ascii="Arial" w:hAnsi="Arial"/>
          <w:color w:val="404040"/>
          <w:sz w:val="21"/>
        </w:rPr>
        <w:t>El holding aéreo que controla Gol y Avianca aseguró que con la inversión, American tendrá poderes similares a los de un accionista mayoritario en Azul, especialmente dada la creación del comité estratégico de la aerolínea.</w:t>
      </w:r>
    </w:p>
    <w:p>
      <w:pPr>
        <w:spacing w:before="40" w:after="60"/>
        <w:ind w:left="283"/>
      </w:pPr>
      <w:r>
        <w:rPr>
          <w:rFonts w:ascii="Arial" w:hAnsi="Arial"/>
          <w:color w:val="404040"/>
          <w:sz w:val="21"/>
        </w:rPr>
        <w:t>Abra Group,el holding aéreo que controla Gol y Avianca, criticóel plan de American Airlines de invertir US$ 100 millones en la compañía brasileña Azul.</w:t>
      </w:r>
    </w:p>
    <w:p>
      <w:pPr>
        <w:spacing w:before="40" w:after="60"/>
        <w:ind w:left="283"/>
      </w:pPr>
      <w:r>
        <w:rPr>
          <w:rFonts w:ascii="Arial" w:hAnsi="Arial"/>
          <w:color w:val="404040"/>
          <w:sz w:val="21"/>
        </w:rPr>
        <w:t>Los reparos fueron presentados por el grupo a través de un comunicado presentado ante el Consejo Administrativo de Defensa Económica (Cade), junto con una solicitud para ser incluida como tercera parte en el proceso de análisis de la inversión.</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Presidente de Brasil presentaría plan de alivio de deuda a hogares por US$ 20.000 millones antes de elecciones de octubre</w:t>
      </w:r>
    </w:p>
    <w:p>
      <w:pPr>
        <w:spacing w:before="40" w:after="60"/>
        <w:ind w:left="283"/>
      </w:pPr>
      <w:r>
        <w:rPr>
          <w:rFonts w:ascii="Arial" w:hAnsi="Arial"/>
          <w:color w:val="404040"/>
          <w:sz w:val="21"/>
        </w:rPr>
        <w:t>El plan se anunciaría esta semana, antes del Día del Trabajo en Brasil, y permitirá a los bancos renegociar deudas con descuentos de hasta el 90%.</w:t>
      </w:r>
    </w:p>
    <w:p>
      <w:pPr>
        <w:spacing w:before="40" w:after="60"/>
        <w:ind w:left="283"/>
      </w:pPr>
      <w:r>
        <w:rPr>
          <w:rFonts w:ascii="Arial" w:hAnsi="Arial"/>
          <w:color w:val="404040"/>
          <w:sz w:val="21"/>
        </w:rPr>
        <w:t>ElPresidenteLuiz Inácio Lula da Silvaestaría planeando implementar un programa para renegociar más de 100.000 millones de reales brasileños (US$ 20.000 millones) en deuda de los hogares,con el objetivo de que se sume a unaserie de medidas destinadas a apoyar el consumomientras busca reforzar su popularidad antes de las elecciones brasileñas que se celebrarán octubre.</w:t>
      </w:r>
    </w:p>
    <w:p>
      <w:pPr>
        <w:spacing w:before="40" w:after="60"/>
        <w:ind w:left="283"/>
      </w:pPr>
      <w:r>
        <w:rPr>
          <w:rFonts w:ascii="Arial" w:hAnsi="Arial"/>
          <w:color w:val="404040"/>
          <w:sz w:val="21"/>
        </w:rPr>
        <w:t>El plan se anunciaría esta semana,antes del Día del Trabajo en Brasil,y permitirá a los bancos renegociar deudas con descuentos de hasta el 90%.</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El petróleo alcanza máximos de un mes ante perspectiva de Trump de un prolongado bloqueo de Irán</w:t>
      </w:r>
    </w:p>
    <w:p>
      <w:pPr>
        <w:spacing w:before="40" w:after="60"/>
        <w:ind w:left="283"/>
      </w:pPr>
      <w:r>
        <w:rPr>
          <w:rFonts w:ascii="Arial" w:hAnsi="Arial"/>
          <w:color w:val="404040"/>
          <w:sz w:val="21"/>
        </w:rPr>
        <w:t>Alzas superiores al 3,5% llevan al Brent a operar en US$ 114 el barril y al WTI en US$ 103. Según WSJ el Presidente de EEUU optó por seguir presionando a la economía iraní, descartando reanudar bombardeos, operaciones terrestres y una retirada.</w:t>
      </w:r>
    </w:p>
    <w:p>
      <w:pPr>
        <w:spacing w:before="40" w:after="60"/>
        <w:ind w:left="283"/>
      </w:pPr>
      <w:r>
        <w:rPr>
          <w:rFonts w:ascii="Arial" w:hAnsi="Arial"/>
          <w:color w:val="404040"/>
          <w:sz w:val="21"/>
        </w:rPr>
        <w:t>La tensión en torno a las estancadas negociaciones entre Estados Unidos e Irán se reflejan con claridad en los precios del petróleo.Alzas en torno a 3,5% llevan este miércoles a operar al Brent en US$ 114 y al WTI US$ 103 el barril,en ambos casos los valores más altos registrados en un mes.</w:t>
      </w:r>
    </w:p>
    <w:p>
      <w:pPr>
        <w:spacing w:before="40" w:after="60"/>
        <w:ind w:left="283"/>
      </w:pPr>
      <w:r>
        <w:rPr>
          <w:rFonts w:ascii="Arial" w:hAnsi="Arial"/>
          <w:color w:val="404040"/>
          <w:sz w:val="21"/>
        </w:rPr>
        <w:t>El desánimo obedece, principalmente, a queel Presidente de Estados Unidos, Donald Trump, habría transmitido a sus asesores su perspectiva de un prolongado bloqueo de Irán, según lo consignado el martes por la noche porThe Wall Street Journal. Esto, en función de la táctica de asfixiar las finanzas de la nación persa, para forzar su capitulación nuclear, algo a lo que Teherán se ha resistido vehementemente.</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Las ventas anticipadas de artículos por el Mundial alientan las utilidades de Adidas en el primer trimestre</w:t>
      </w:r>
    </w:p>
    <w:p>
      <w:pPr>
        <w:spacing w:before="40" w:after="60"/>
        <w:ind w:left="283"/>
      </w:pPr>
      <w:r>
        <w:rPr>
          <w:rFonts w:ascii="Arial" w:hAnsi="Arial"/>
          <w:color w:val="404040"/>
          <w:sz w:val="21"/>
        </w:rPr>
        <w:t>El crecimiento de las ventas directas al consumidor impulsa el desempeño del grupo alemán de ropa deportiva.</w:t>
      </w:r>
    </w:p>
    <w:p>
      <w:pPr>
        <w:spacing w:before="40" w:after="60"/>
        <w:ind w:left="283"/>
      </w:pPr>
      <w:r>
        <w:rPr>
          <w:rFonts w:ascii="Arial" w:hAnsi="Arial"/>
          <w:color w:val="404040"/>
          <w:sz w:val="21"/>
        </w:rPr>
        <w:t>El CEO de Adidas, Bjorn Gulden (a la izquierda), y el CEO Harm Ohlmeyer, en las oficinas centrales de la firma en Herzogenaurach, Alemania. (Foto: Reuters)</w:t>
      </w:r>
    </w:p>
    <w:p>
      <w:pPr>
        <w:spacing w:before="40" w:after="60"/>
        <w:ind w:left="283"/>
      </w:pPr>
      <w:r>
        <w:rPr>
          <w:rFonts w:ascii="Arial" w:hAnsi="Arial"/>
          <w:color w:val="404040"/>
          <w:sz w:val="21"/>
        </w:rPr>
        <w:t>Adidas registró un fuerte aumento en sus ganancias trimestrales, impulsado por el auge de las ventas de artículos de fútbol antes del Mundialy por la mayor venta directa al consumidor.</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OpenAI incumple sus propias metas de usuarios y ventas</w:t>
      </w:r>
    </w:p>
    <w:p>
      <w:pPr>
        <w:spacing w:before="40" w:after="60"/>
        <w:ind w:left="283"/>
      </w:pPr>
      <w:r>
        <w:rPr>
          <w:rFonts w:ascii="Arial" w:hAnsi="Arial"/>
          <w:color w:val="404040"/>
          <w:sz w:val="21"/>
        </w:rPr>
        <w:t>Así lo afirmó un reporte del Wall Street Journal. En tanto, la firma liderada por Sam Altman amplió su acuerdo con Amazon tras flexibilizar los términos exclusivos de su vínculo con Microsoft.</w:t>
      </w:r>
    </w:p>
    <w:p>
      <w:pPr>
        <w:spacing w:before="40" w:after="60"/>
        <w:ind w:left="283"/>
      </w:pPr>
      <w:r>
        <w:rPr>
          <w:rFonts w:ascii="Arial" w:hAnsi="Arial"/>
          <w:color w:val="404040"/>
          <w:sz w:val="21"/>
        </w:rPr>
        <w:t>OpenAI no logró cumplir sus propias metas de adquisición de nuevos usuarios y ventas, lo que ha generado preocupaciones internas de que la compañía podría tener dificultades para sostener su gasto en infraestructura de inteligencia artificial (IA), informó The Wall Street Journal (WSJ).</w:t>
      </w:r>
    </w:p>
    <w:p>
      <w:pPr>
        <w:spacing w:before="40" w:after="60"/>
        <w:ind w:left="283"/>
      </w:pPr>
      <w:r>
        <w:rPr>
          <w:rFonts w:ascii="Arial" w:hAnsi="Arial"/>
          <w:color w:val="404040"/>
          <w:sz w:val="21"/>
        </w:rPr>
        <w:t>La empresa no alcanzó varios objetivos mensuales de ventas en 2026, luego de que su rival Anthropic PBC ganara terreno en los mercados de coding y enterprise, reportó el medio estadounidense, citando a personas no identificadas con conocimiento del tema.</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Cómo ChatGPT, Claude y Gemini entregaron a científicos instrucciones para crear armas biológicas</w:t>
      </w:r>
    </w:p>
    <w:p>
      <w:pPr>
        <w:spacing w:before="40" w:after="60"/>
        <w:ind w:left="283"/>
      </w:pPr>
      <w:r>
        <w:rPr>
          <w:rFonts w:ascii="Arial" w:hAnsi="Arial"/>
          <w:color w:val="404040"/>
          <w:sz w:val="21"/>
        </w:rPr>
        <w:t>Un reportaje de The New York Times reveló transcripciones de expertos en bioseguridad contratados por OpenAI, Anthropic y Google en que los modelos describieron, paso a paso, cómo fabricar patógenos letales y desplegarlos en espacios públicos. Algunos incluso propusieron formas de eludir la detección.</w:t>
      </w:r>
    </w:p>
    <w:p>
      <w:pPr>
        <w:spacing w:before="40" w:after="60"/>
        <w:ind w:left="283"/>
      </w:pPr>
      <w:r>
        <w:rPr>
          <w:rFonts w:ascii="Arial" w:hAnsi="Arial"/>
          <w:color w:val="404040"/>
          <w:sz w:val="21"/>
        </w:rPr>
        <w:t>Una investigación publicada este miércoles por The New York Times (NYT) reveló quelos principaleschatbotsde inteligencia artificial -ChatGPT de OpenAI, Gemini de Google y Claude de Anthropic- entregaron a científicos instrucciones detalladas para fabricar y desplegar armas biológicas, en pruebas realizadas por expertos en bioseguridad contratados por las propias compañías para auditar sus productos.</w:t>
      </w:r>
    </w:p>
    <w:p>
      <w:pPr>
        <w:spacing w:before="40" w:after="60"/>
        <w:ind w:left="283"/>
      </w:pPr>
      <w:r>
        <w:rPr>
          <w:rFonts w:ascii="Arial" w:hAnsi="Arial"/>
          <w:color w:val="404040"/>
          <w:sz w:val="21"/>
        </w:rPr>
        <w:t>El reportaje recoge más de una docena de transcripciones en las que los asistentes describieron, paso a paso,cómo adquirir material genético en bruto, transformarlo en patógenos letales y desplegarlos en espacios públicos.Algunos modelos incluso sugirieron formas de eludir la detección.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Británica Forest levanta capital con siete family offices chilenos para liderar el mercado de e-bikes en Londres</w:t>
      </w:r>
    </w:p>
    <w:p>
      <w:pPr>
        <w:spacing w:before="40" w:after="60"/>
        <w:ind w:left="283"/>
      </w:pPr>
      <w:r>
        <w:rPr>
          <w:rFonts w:ascii="Arial" w:hAnsi="Arial"/>
          <w:color w:val="404040"/>
          <w:sz w:val="21"/>
        </w:rPr>
        <w:t>La startup fundada por chilenos superó en cobertura a Lime, su principal competidor en el arriendo de bicicletas eléctricas. Entre los inversionistas están las familias Cueto, Yurazseck, Matte, Vial y Guilisasti.</w:t>
      </w:r>
    </w:p>
    <w:p>
      <w:pPr>
        <w:spacing w:before="40" w:after="60"/>
        <w:ind w:left="283"/>
      </w:pPr>
      <w:r>
        <w:rPr>
          <w:rFonts w:ascii="Arial" w:hAnsi="Arial"/>
          <w:color w:val="404040"/>
          <w:sz w:val="21"/>
        </w:rPr>
        <w:t>Agustín Guilisasti (a la derecha de la bicicleta) junto al equipo de Forest en Londres.</w:t>
      </w:r>
    </w:p>
    <w:p>
      <w:pPr>
        <w:spacing w:before="40" w:after="60"/>
        <w:ind w:left="283"/>
      </w:pPr>
      <w:r>
        <w:rPr>
          <w:rFonts w:ascii="Arial" w:hAnsi="Arial"/>
          <w:color w:val="404040"/>
          <w:sz w:val="21"/>
        </w:rPr>
        <w:t>Forest, la empresa fundada en Londres, Reino Unido, por los chilenos Agustín Guilisasti e Ignacio Gutiérrez -que combina el arriendo de bicicletas eléctricas con una plataforma de publicidad digital- concretó una ronda de inversión serie B por US$ 54 millones.</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Crédito tributario al empleo</w:t>
      </w:r>
    </w:p>
    <w:p>
      <w:pPr>
        <w:spacing w:after="80"/>
      </w:pPr>
      <w:r>
        <w:rPr>
          <w:rFonts w:ascii="Arial" w:hAnsi="Arial"/>
          <w:i/>
          <w:color w:val="999999"/>
          <w:sz w:val="20"/>
        </w:rPr>
        <w:t>(Sin detalle disponible.)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Regulación desalineada</w:t>
      </w:r>
    </w:p>
    <w:p>
      <w:pPr>
        <w:spacing w:before="40" w:after="60"/>
        <w:ind w:left="283"/>
      </w:pPr>
      <w:r>
        <w:rPr>
          <w:rFonts w:ascii="Arial" w:hAnsi="Arial"/>
          <w:color w:val="404040"/>
          <w:sz w:val="21"/>
        </w:rPr>
        <w:t>A raíz de la publicación en DF sobre los llamados de la industria financiera a la CMF para avanzar en la proporcionalidad regulatoria y así en su objetivo de desarrollo de mercado, quisiera agregar un elemento que ilustra la urgencia del debate.</w:t>
      </w:r>
    </w:p>
    <w:p>
      <w:pPr>
        <w:spacing w:before="40" w:after="60"/>
        <w:ind w:left="283"/>
      </w:pPr>
      <w:r>
        <w:rPr>
          <w:rFonts w:ascii="Arial" w:hAnsi="Arial"/>
          <w:color w:val="404040"/>
          <w:sz w:val="21"/>
        </w:rPr>
        <w:t>El 1 de julio entra en vigor la NCG 526 -dictada como parte de la Ley Fintech- que establece nuevos requisitos de capital mínimo y garantías para las administradoras generales de fondos. Esto ocurre cuando el nuevo gobierno apuesta por el crecimiento y la inversión. Mientras tanto, el marco regulatorio financiero avanza hacia exigencias que inmovilizan capital sin evaluar en profundidad el impacto sobre la industria y la inclusión financiera, en un país que ya partía con una estructura de costos comparativamente alta respecto de Europa y EEUU. El resultado es predecible: freno a la baja de comisiones y mayores barreras de entrada. No es casual que la conversación en la industria de las AGF gire hoy en torno a fusiones y adquisiciones, no a mayor competencia.</w:t>
      </w:r>
    </w:p>
    <w:p>
      <w:pPr>
        <w:spacing w:before="40" w:after="60"/>
        <w:ind w:left="283"/>
      </w:pPr>
      <w:r>
        <w:rPr>
          <w:rFonts w:ascii="Arial" w:hAnsi="Arial"/>
          <w:color w:val="404040"/>
          <w:sz w:val="21"/>
        </w:rPr>
        <w:t>Un estudio que realizamos junto al economista Claudio Raddatz documenta que la regulación chilena es inusual en exigir simultáneamente capital mínimo y garantías que no tengan un tope máximo, con niveles significativamente más altos que los de mercados comparables. Hoy pareciera que la regulación no se alinea con los objetivos que nos planteamos como país.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29 de abril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