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30 De Abril De 2026</w:t>
      </w:r>
    </w:p>
    <w:p>
      <w:pPr>
        <w:jc w:val="center"/>
      </w:pPr>
      <w:r>
        <w:rPr>
          <w:rFonts w:ascii="Arial" w:hAnsi="Arial"/>
          <w:color w:val="999999"/>
          <w:sz w:val="20"/>
        </w:rPr>
        <w:t>6 secciones  ·  32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al alza tras negativa racha por el conflicto en Medio Oriente y Wall Street reacciona a resultados de grandes tecnológicas</w:t>
      </w:r>
    </w:p>
    <w:p>
      <w:pPr>
        <w:spacing w:before="40" w:after="60"/>
        <w:ind w:left="283"/>
      </w:pPr>
      <w:r>
        <w:rPr>
          <w:rFonts w:ascii="Arial" w:hAnsi="Arial"/>
          <w:color w:val="404040"/>
          <w:sz w:val="21"/>
        </w:rPr>
        <w:t>Las acciones de Alphabet figuraban como las más premiadas, por el sólido crecimiento de ventas de Google Cloud. Por el contrario, Meta se llevaba la peor parte, tras incumplir las estimaciones de gasto de capital.</w:t>
      </w:r>
    </w:p>
    <w:p>
      <w:pPr>
        <w:spacing w:before="40" w:after="60"/>
        <w:ind w:left="283"/>
      </w:pPr>
      <w:r>
        <w:rPr>
          <w:rFonts w:ascii="Arial" w:hAnsi="Arial"/>
          <w:color w:val="404040"/>
          <w:sz w:val="21"/>
        </w:rPr>
        <w:t>Las bolsas occidentales subían este jueves, a medida que se modera el alto nerviosismo de mitad de semana con respecto a la crisis del golfo Pérsico, y los agentes toman nota de los últimos resultados de las grandes tecnológicas estadounidenses.</w:t>
      </w:r>
    </w:p>
    <w:p>
      <w:pPr>
        <w:spacing w:before="40" w:after="60"/>
        <w:ind w:left="283"/>
      </w:pPr>
      <w:r>
        <w:rPr>
          <w:rFonts w:ascii="Arial" w:hAnsi="Arial"/>
          <w:color w:val="404040"/>
          <w:sz w:val="21"/>
        </w:rPr>
        <w:t>El S&amp;P IPSA chileno remontaba 0,7% a 10.929,68 en los primeros negocios, trascerrar en rojo por tercera sesión. En Wall Street,el Dow Jones recuperaba 0,7%y el S&amp;P 500 seguía plano, al igual que el tecnológico Nasdaq. En Europa,el FTSE 100 saltaba 1,5%, y el Euro Stoxx 50 ganaba 0,4%. Al cierre de Asia,el Hang Seng perdió 1,3% y el Nikkei 1,1%.</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en baja atento al bloqueo de Ormuz mientras se asienta el polvo tras jornada de fuerte demanda por la divisa</w:t>
      </w:r>
    </w:p>
    <w:p>
      <w:pPr>
        <w:spacing w:before="40" w:after="60"/>
        <w:ind w:left="283"/>
      </w:pPr>
      <w:r>
        <w:rPr>
          <w:rFonts w:ascii="Arial" w:hAnsi="Arial"/>
          <w:color w:val="404040"/>
          <w:sz w:val="21"/>
        </w:rPr>
        <w:t>El dollar index en particular devolvía con creces su alza de la víspera, por la significativa apreciación del yen, después de que la máxima autoridad de divisas de Japón lanzara un ultimátum a los especuladores.</w:t>
      </w:r>
    </w:p>
    <w:p>
      <w:pPr>
        <w:spacing w:before="40" w:after="60"/>
        <w:ind w:left="283"/>
      </w:pPr>
      <w:r>
        <w:rPr>
          <w:rFonts w:ascii="Arial" w:hAnsi="Arial"/>
          <w:color w:val="404040"/>
          <w:sz w:val="21"/>
        </w:rPr>
        <w:t>El precio del dólar abrió a la baja este jueves en Chile, dado que los ánimos se están calmando un poco en relación con la crisis del Golfo Pérsico, que de todas formas sigue teniendo a los inversionistas en alerta.</w:t>
      </w:r>
    </w:p>
    <w:p>
      <w:pPr>
        <w:spacing w:before="40" w:after="60"/>
        <w:ind w:left="283"/>
      </w:pPr>
      <w:r>
        <w:rPr>
          <w:rFonts w:ascii="Arial" w:hAnsi="Arial"/>
          <w:color w:val="404040"/>
          <w:sz w:val="21"/>
        </w:rPr>
        <w:t>Después decerrar a mitad de semana con un alza de casi $ 20,el tipo de cambio local abrió con una caída de $ 3,3 hasta los $ 905,5 en las pantallas de Bloomberg. Este será su cierre semanal, ya que el viernes 1 de mayo es feriado en Chile y en gran parte del mundo por el Día Internacional de los Trabajadores.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Nueva ley impulsa ingreso de mujeres en directorios: 19 de las 33 compañías IPSA cumplen con presencia mínima de 20%</w:t>
      </w:r>
    </w:p>
    <w:p>
      <w:pPr>
        <w:spacing w:before="40" w:after="60"/>
        <w:ind w:left="283"/>
      </w:pPr>
      <w:r>
        <w:rPr>
          <w:rFonts w:ascii="Arial" w:hAnsi="Arial"/>
          <w:color w:val="404040"/>
          <w:sz w:val="21"/>
        </w:rPr>
        <w:t>De acuerdo a Redmad, los perfiles femeninos lideraron los ingresos del año con el 68,4% de las nuevas incorporaciones a las mesas. Para la organización, aumentar la densidad es el desafío pendiente.</w:t>
      </w:r>
    </w:p>
    <w:p>
      <w:pPr>
        <w:spacing w:before="40" w:after="60"/>
        <w:ind w:left="283"/>
      </w:pPr>
      <w:r>
        <w:rPr>
          <w:rFonts w:ascii="Arial" w:hAnsi="Arial"/>
          <w:color w:val="404040"/>
          <w:sz w:val="21"/>
        </w:rPr>
        <w:t>La temporada de juntas de accionistas de empresas pertenecientes al IPSA dejó 16 renovaciones en sus directorios, con nuevos avances de presencia femenina en las mesas de las 33 compañías listadas en bolsa más grandes del país.</w:t>
      </w:r>
    </w:p>
    <w:p>
      <w:pPr>
        <w:spacing w:before="40" w:after="60"/>
        <w:ind w:left="283"/>
      </w:pPr>
      <w:r>
        <w:rPr>
          <w:rFonts w:ascii="Arial" w:hAnsi="Arial"/>
          <w:color w:val="404040"/>
          <w:sz w:val="21"/>
        </w:rPr>
        <w:t>De acuerdo a un catastro realizado por la Red Mujeres Alta Dirección (Redmad),  el 96,97% de las empresas tiene al menos una mujer en su directorio -es decir, 32 de 33-.</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SMA inicia investigación contra ENAP Refinerías Aconcagua tras denuncia de manipulación de datos de cumplimiento ambiental</w:t>
      </w:r>
    </w:p>
    <w:p>
      <w:pPr>
        <w:spacing w:before="40" w:after="60"/>
        <w:ind w:left="283"/>
      </w:pPr>
      <w:r>
        <w:rPr>
          <w:rFonts w:ascii="Arial" w:hAnsi="Arial"/>
          <w:color w:val="404040"/>
          <w:sz w:val="21"/>
        </w:rPr>
        <w:t>La entidad fiscalizadora realizó este miércoles un requerimiento de información tras la decisión del directorio de la estatal de ejercer acciones legales por la entrega de información falsa a la entidad.</w:t>
      </w:r>
    </w:p>
    <w:p>
      <w:pPr>
        <w:spacing w:before="40" w:after="60"/>
        <w:ind w:left="283"/>
      </w:pPr>
      <w:r>
        <w:rPr>
          <w:rFonts w:ascii="Arial" w:hAnsi="Arial"/>
          <w:color w:val="404040"/>
          <w:sz w:val="21"/>
        </w:rPr>
        <w:t>La Superintendencia del Medio Ambiente (SMA) confirmó este jueves su intervención en el conflictoque destapó este miércoles la ministra de Energía,Ximena Rincón, tras participar en la junta de accionistasde la Empresa Nacional del Petróleo (ENAP) que se realiza de forma cerrada. Esto,respecto a la decisión del directorio de la estatal de ejercer acciones legales por -según dijo- contingencias legales ambientales que considera "graves".</w:t>
      </w:r>
    </w:p>
    <w:p>
      <w:pPr>
        <w:spacing w:before="40" w:after="60"/>
        <w:ind w:left="283"/>
      </w:pPr>
      <w:r>
        <w:rPr>
          <w:rFonts w:ascii="Arial" w:hAnsi="Arial"/>
          <w:color w:val="404040"/>
          <w:sz w:val="21"/>
        </w:rPr>
        <w:t>En concreto, según aclararon fuentes posteriormente,las acciones están dirigidas contra ejecutivos y personal de la petroleraque habrían manipulado datos de cumplimiento ambiental, lo que implicó entregar información falsa a la entidad fiscalizadora, respecto de los niveles de contaminantes en la refinería Aconcagua, en el marco del Plan de Prevención y/o Descontaminación Atmosférica (PPDA) que rige para las comunas de Concón, Quintero y Puchuncaví, en la Región de Valparaíso.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Macario Valdés debuta como CEO de Quiñenco y se abre a “inversiones tanto en Chile como en el extranjero”</w:t>
      </w:r>
    </w:p>
    <w:p>
      <w:pPr>
        <w:spacing w:before="40" w:after="60"/>
        <w:ind w:left="283"/>
      </w:pPr>
      <w:r>
        <w:rPr>
          <w:rFonts w:ascii="Arial" w:hAnsi="Arial"/>
          <w:color w:val="404040"/>
          <w:sz w:val="21"/>
        </w:rPr>
        <w:t>Andrónico Luksic Lederer, quien asumió como vicepresidente de la matriz industrial del grupo Luksic, también hizo su primera aparición pública en la junta de accionistas.</w:t>
      </w:r>
    </w:p>
    <w:p>
      <w:pPr>
        <w:spacing w:before="40" w:after="60"/>
        <w:ind w:left="283"/>
      </w:pPr>
      <w:r>
        <w:rPr>
          <w:rFonts w:ascii="Arial" w:hAnsi="Arial"/>
          <w:color w:val="404040"/>
          <w:sz w:val="21"/>
        </w:rPr>
        <w:t>Andrónico Luksic Lederer, vicepresidente, y Macario Valdés, CEO de Quiñenco. Foto: Julio Castro.</w:t>
      </w:r>
    </w:p>
    <w:p>
      <w:pPr>
        <w:spacing w:before="40" w:after="60"/>
        <w:ind w:left="283"/>
      </w:pPr>
      <w:r>
        <w:rPr>
          <w:rFonts w:ascii="Arial" w:hAnsi="Arial"/>
          <w:color w:val="404040"/>
          <w:sz w:val="21"/>
        </w:rPr>
        <w:t>El Hotel Ritz Carlton fue sede y testigo del debut del nuevo CEO de Quiñenco, Macario Valdés. Pese a que el ejecutivo asumió en enero pasado como gerente general del holding ligado al grupo Luksic –cargo que previamente fue ocupado por el actual canciller, Francisco Pérez Mackenna, por casi tres décadas– este miércoles encabezó su primera junta de accionistas.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Desafíos en el vecindario: embotelladoras delinean retos en Bolivia y Argentina</w:t>
      </w:r>
    </w:p>
    <w:p>
      <w:pPr>
        <w:spacing w:before="40" w:after="60"/>
        <w:ind w:left="283"/>
      </w:pPr>
      <w:r>
        <w:rPr>
          <w:rFonts w:ascii="Arial" w:hAnsi="Arial"/>
          <w:color w:val="404040"/>
          <w:sz w:val="21"/>
        </w:rPr>
        <w:t>CCU acusó impactos en rentabilidad por desempeño en Argentina y Embonor registró caídas del 10% en ingresos en Bolivia.</w:t>
      </w:r>
    </w:p>
    <w:p>
      <w:pPr>
        <w:spacing w:before="40" w:after="60"/>
        <w:ind w:left="283"/>
      </w:pPr>
      <w:r>
        <w:rPr>
          <w:rFonts w:ascii="Arial" w:hAnsi="Arial"/>
          <w:color w:val="404040"/>
          <w:sz w:val="21"/>
        </w:rPr>
        <w:t>Rodrigo Paz, presidente de Bolivia; Bruno Pietracci, presidente de Coca Cola América Latina; y Andrés Vicuña, presidente Coca Cola Embonor</w:t>
      </w:r>
    </w:p>
    <w:p>
      <w:pPr>
        <w:spacing w:before="40" w:after="60"/>
        <w:ind w:left="283"/>
      </w:pPr>
      <w:r>
        <w:rPr>
          <w:rFonts w:ascii="Arial" w:hAnsi="Arial"/>
          <w:color w:val="404040"/>
          <w:sz w:val="21"/>
        </w:rPr>
        <w:t>El adverso escenario político y económico que se vive en ciertos países de Latinoamérica fue un tema que se repitieron en las principales embotelladoras de la región.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Nuevos directorios, focos estratégicos y riesgos externos marcan la temporada de juntas de accionistas 2026</w:t>
      </w:r>
    </w:p>
    <w:p>
      <w:pPr>
        <w:spacing w:before="40" w:after="60"/>
        <w:ind w:left="283"/>
      </w:pPr>
      <w:r>
        <w:rPr>
          <w:rFonts w:ascii="Arial" w:hAnsi="Arial"/>
          <w:color w:val="404040"/>
          <w:sz w:val="21"/>
        </w:rPr>
        <w:t>Las asambleas dieron cuenta de un tono más favorable hacia la inversión, el apoyo a reformas procrecimiento y la preocupación por el contexto internacional.</w:t>
      </w:r>
    </w:p>
    <w:p>
      <w:pPr>
        <w:spacing w:before="40" w:after="60"/>
        <w:ind w:left="283"/>
      </w:pPr>
      <w:r>
        <w:rPr>
          <w:rFonts w:ascii="Arial" w:hAnsi="Arial"/>
          <w:color w:val="404040"/>
          <w:sz w:val="21"/>
        </w:rPr>
        <w:t>Cecilia Pérez, presidenta Azul Azul. Manfred Paulmann, presidente Cencosud, Fernando de Peña, presidente Falabella, Óscar Hasbún, presidente Sud Americana de Vapores, Cristián Muga, presidente Enap.</w:t>
      </w:r>
    </w:p>
    <w:p>
      <w:pPr>
        <w:spacing w:before="40" w:after="60"/>
        <w:ind w:left="283"/>
      </w:pPr>
      <w:r>
        <w:rPr>
          <w:rFonts w:ascii="Arial" w:hAnsi="Arial"/>
          <w:color w:val="404040"/>
          <w:sz w:val="21"/>
        </w:rPr>
        <w:t>A mediados de marzo comenzó una nueva temporada de juntas ordinarias de accionistas, que ya entra en su recta final.</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Guerra de Irán y cierre del estrecho de Ormuz nublan el panorama de las compañías</w:t>
      </w:r>
    </w:p>
    <w:p>
      <w:pPr>
        <w:spacing w:before="40" w:after="60"/>
        <w:ind w:left="283"/>
      </w:pPr>
      <w:r>
        <w:rPr>
          <w:rFonts w:ascii="Arial" w:hAnsi="Arial"/>
          <w:color w:val="404040"/>
          <w:sz w:val="21"/>
        </w:rPr>
        <w:t>El conflicto bélico encarece los costos de combustible, los seguros y obliga a cambiar rutas de las navieras.</w:t>
      </w:r>
    </w:p>
    <w:p>
      <w:pPr>
        <w:spacing w:before="40" w:after="60"/>
        <w:ind w:left="283"/>
      </w:pPr>
      <w:r>
        <w:rPr>
          <w:rFonts w:ascii="Arial" w:hAnsi="Arial"/>
          <w:color w:val="404040"/>
          <w:sz w:val="21"/>
        </w:rPr>
        <w:t>Aunque el conflicto bélico en Medio Oriente afecta a todas las empresas a través del alza en los costos del transporte y la energía, hay compañías que explicitaron el impacto en la reunión con sus accionistas. En el caso de CSAV, la firma ligada al grupo Luksic y que tiene un 30% de la propiedad de Hapag-Lloyd, hay efectos por cambios de ruta, seguros y combustible. Concretamente Hapag-Lloyd declaró mayores costos entre US$ 40 millones y US$ 50 millones semanales como consecuencia de los costos adicionales de los seguros y las interrupciones derivadas del conflicto en Medio Oriente.</w:t>
      </w:r>
    </w:p>
    <w:p>
      <w:pPr>
        <w:spacing w:before="40" w:after="60"/>
        <w:ind w:left="283"/>
      </w:pPr>
      <w:r>
        <w:rPr>
          <w:rFonts w:ascii="Arial" w:hAnsi="Arial"/>
          <w:color w:val="404040"/>
          <w:sz w:val="21"/>
        </w:rPr>
        <w:t>En el caso de Latam Airlines, su CEO Roberto Alvo precisó que, hasta ahora, no han tenido efectos directos en sus operaciones, ya que su presencia es menor en la región tanto en pasajeros como en carga, pero sí están sufriendo los efectos indirectos del alza de combustibles que encarece los costos operativos. “Dada la incertidumbre que todos enfrentamos, es prácticamente imposible prever el impacto que esto tendrá para Latam y para la industria”, afirmó.</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Constructoras elevan inversiones para 2026 ante mejores perspectivas y ciclo minero al alza</w:t>
      </w:r>
    </w:p>
    <w:p>
      <w:pPr>
        <w:spacing w:before="40" w:after="60"/>
        <w:ind w:left="283"/>
      </w:pPr>
      <w:r>
        <w:rPr>
          <w:rFonts w:ascii="Arial" w:hAnsi="Arial"/>
          <w:color w:val="404040"/>
          <w:sz w:val="21"/>
        </w:rPr>
        <w:t>Los planes para este año contemplan desembolsos por cientos de millones de dólares y alzas de hasta 75% frente al ejercicio pasado.</w:t>
      </w:r>
    </w:p>
    <w:p>
      <w:pPr>
        <w:spacing w:before="40" w:after="60"/>
        <w:ind w:left="283"/>
      </w:pPr>
      <w:r>
        <w:rPr>
          <w:rFonts w:ascii="Arial" w:hAnsi="Arial"/>
          <w:color w:val="404040"/>
          <w:sz w:val="21"/>
        </w:rPr>
        <w:t>Después de varios años marcados por una crisis sin precedentes,la industria inmobiliaria y de la construcción comenzó a mostrar señales más claras de recuperación.</w:t>
      </w:r>
    </w:p>
    <w:p>
      <w:pPr>
        <w:spacing w:before="40" w:after="60"/>
        <w:ind w:left="283"/>
      </w:pPr>
      <w:r>
        <w:rPr>
          <w:rFonts w:ascii="Arial" w:hAnsi="Arial"/>
          <w:color w:val="404040"/>
          <w:sz w:val="21"/>
        </w:rPr>
        <w:t>Ese cambio de ánimo se hizo evidente en las últimas juntas de accionistas del sector, donde el foco ya no estuvo solo en dejar atrás los años más complejos, sino en volver a crecer. Los números, de hecho, acompañaron ese giro: varias compañías anunciaron para 2026 planes de inversión por sobre los del ejercicio pasado.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Cristalerías de Chile reporta sus resultados a marzo de 2026</w:t>
      </w:r>
    </w:p>
    <w:p>
      <w:pPr>
        <w:spacing w:before="40" w:after="60"/>
        <w:ind w:left="283"/>
      </w:pPr>
      <w:r>
        <w:rPr>
          <w:rFonts w:ascii="Arial" w:hAnsi="Arial"/>
          <w:color w:val="404040"/>
          <w:sz w:val="21"/>
        </w:rPr>
        <w:t>Ingresos disminuyen 10,8% el primer trimestre, con menores ventas del segmento vidrios (-15,8%), y Viña Santa Rita (-1,7%), pero compensado en parte por un alza de Ediciones Financieras (20,3%).</w:t>
      </w:r>
    </w:p>
    <w:p>
      <w:pPr>
        <w:spacing w:before="40" w:after="60"/>
        <w:ind w:left="283"/>
      </w:pPr>
      <w:r>
        <w:rPr>
          <w:rFonts w:ascii="Arial" w:hAnsi="Arial"/>
          <w:color w:val="404040"/>
          <w:sz w:val="21"/>
        </w:rPr>
        <w:t>Cristalerías de Chile reportó a la Comisión para el Mercado Financiero (CMF) sus resultados correspondientes al primer trimestre de 2026. En el periodo, las ventas consolidadas tuvieron una disminución de 10,8% alcanzando $ 78.708 millones, que se comparan con $ 88.216 millones para el mismo período del año 2025. Esta menor venta se debe principalmente a una disminución de ingreso de Cristalchile en el segmento vidrios (-15,8%) y un menor ingreso de S.A. Viña Santa Rita en el segmento vinos (-1,7%), lo anterior compensado en parte por un alza de Ediciones Financieras (20,3%). La empresa -relacionada a Grupo DF-detalló que el menor ingreso del segmento vidrios se explica principalmente “por una menor venta de envases del sector cervezas, compensados en parte por un mejor desempeño en el sector de vinos, alimentos y exportaciones. Adicionalmente, los ingresos del periodo se vieron afectados por un menor precio promedio de venta, el cual disminuyó un 8,9% en comparación con el año anterior, como consecuencia de un cambio en el mix de venta y una caída del tipo de cambio promedio de 8,1%, el cual impacta la determinación de los precios de venta”.</w:t>
      </w:r>
    </w:p>
    <w:p>
      <w:pPr>
        <w:spacing w:before="40" w:after="60"/>
        <w:ind w:left="283"/>
      </w:pPr>
      <w:r>
        <w:rPr>
          <w:rFonts w:ascii="Arial" w:hAnsi="Arial"/>
          <w:color w:val="404040"/>
          <w:sz w:val="21"/>
        </w:rPr>
        <w:t>Cristalerías reportó una disminución de su deuda financiera neta por $8.590 millones, lo que contribuyó al menor gasto financiero del periodo.</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Juan Manuel Santa Cruz deja presidencia de LipiAndes tras 12 años y asume Mario Vinagre</w:t>
      </w:r>
    </w:p>
    <w:p>
      <w:pPr>
        <w:spacing w:before="40" w:after="60"/>
        <w:ind w:left="283"/>
      </w:pPr>
      <w:r>
        <w:rPr>
          <w:rFonts w:ascii="Arial" w:hAnsi="Arial"/>
          <w:color w:val="404040"/>
          <w:sz w:val="21"/>
        </w:rPr>
        <w:t>Juan Ignacio Noguera quedó como primer vicepresidente de la firma.</w:t>
      </w:r>
    </w:p>
    <w:p>
      <w:pPr>
        <w:spacing w:before="40" w:after="60"/>
        <w:ind w:left="283"/>
      </w:pPr>
      <w:r>
        <w:rPr>
          <w:rFonts w:ascii="Arial" w:hAnsi="Arial"/>
          <w:color w:val="404040"/>
          <w:sz w:val="21"/>
        </w:rPr>
        <w:t>LipiAndes -antes conocida como Lipigas- anunció cambios en la presidencia de su directorio, tras doce años de Juan Manuel Santa Cruz Munizaga a la cabeza del grupo.</w:t>
      </w:r>
    </w:p>
    <w:p>
      <w:pPr>
        <w:spacing w:before="40" w:after="60"/>
        <w:ind w:left="283"/>
      </w:pPr>
      <w:r>
        <w:rPr>
          <w:rFonts w:ascii="Arial" w:hAnsi="Arial"/>
          <w:color w:val="404040"/>
          <w:sz w:val="21"/>
        </w:rPr>
        <w:t>Luego de la junta de accionistas realizada este miércoles, en la que se eligieron a los integrantes de la mesa directiva por un nuevo periodo de tres años -2026-2029- el directorio sesionó y eligió a Mario Vinagre como como chairman, a Juan Ignacio Noguera como primer vicepresidente y a Juan Manuel Santa Cruz Munizaga como segundo vicepresidente.</w:t>
      </w:r>
    </w:p>
    <w:p>
      <w:pPr>
        <w:pBdr>
          <w:bottom w:val="single" w:sz="4" w:space="1" w:color="BDD7EE"/>
        </w:pBdr>
        <w:spacing w:before="80" w:after="80"/>
      </w:pPr>
    </w:p>
    <w:p>
      <w:pPr>
        <w:pStyle w:val="Heading2"/>
        <w:spacing w:before="200" w:after="80"/>
      </w:pPr>
      <w:r>
        <w:rPr>
          <w:rFonts w:ascii="Arial" w:hAnsi="Arial"/>
          <w:b/>
          <w:color w:val="2E75B6"/>
          <w:sz w:val="22"/>
        </w:rPr>
        <w:t xml:space="preserve">9.  </w:t>
      </w:r>
      <w:r>
        <w:rPr>
          <w:rFonts w:ascii="Arial" w:hAnsi="Arial"/>
          <w:b/>
          <w:color w:val="1F4E79"/>
          <w:sz w:val="22"/>
        </w:rPr>
        <w:t>Probidad pública en debate: expertos advierten que la ley no basta para asegurar integridad</w:t>
      </w:r>
    </w:p>
    <w:p>
      <w:pPr>
        <w:spacing w:before="40" w:after="60"/>
        <w:ind w:left="283"/>
      </w:pPr>
      <w:r>
        <w:rPr>
          <w:rFonts w:ascii="Arial" w:hAnsi="Arial"/>
          <w:color w:val="404040"/>
          <w:sz w:val="21"/>
        </w:rPr>
        <w:t>En un conversatorio del Segundo Tribunal Ambiental, especialistas coincidieron en que el desafío no solo es normativo, sino también cultural.</w:t>
      </w:r>
    </w:p>
    <w:p>
      <w:pPr>
        <w:spacing w:before="40" w:after="60"/>
        <w:ind w:left="283"/>
      </w:pPr>
      <w:r>
        <w:rPr>
          <w:rFonts w:ascii="Arial" w:hAnsi="Arial"/>
          <w:color w:val="404040"/>
          <w:sz w:val="21"/>
        </w:rPr>
        <w:t>El uso indebido de licencias médicas y las influencias que mueven los nombramientos en el Poder Judicial son algunos de los casos que marcaron el año 2025, encendiendo el debate respecto a la probidad e integridad en la función pública.</w:t>
      </w:r>
    </w:p>
    <w:p>
      <w:pPr>
        <w:spacing w:before="40" w:after="60"/>
        <w:ind w:left="283"/>
      </w:pPr>
      <w:r>
        <w:rPr>
          <w:rFonts w:ascii="Arial" w:hAnsi="Arial"/>
          <w:color w:val="404040"/>
          <w:sz w:val="21"/>
        </w:rPr>
        <w:t>Este martes, en el marco de la Cuenta Pública del Segundo Tribunal Ambiental, donde se destacó que en 2025 el Tribunal experimentó un incremento porcentual de un 67% respecto de los ingresos del período anterior- se realizó el conversatorio “Probidad, integridad y justicia ambiental: estándares, desafíos y buenas prácticas”, instancia en que se intentó delinear las fórmulas para fortalecer la integridad pública.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Camino a la APEC 2026: Consejo Asesor Empresarial define a sus nuevos representantes</w:t>
      </w:r>
    </w:p>
    <w:p>
      <w:pPr>
        <w:spacing w:before="40" w:after="60"/>
        <w:ind w:left="283"/>
      </w:pPr>
      <w:r>
        <w:rPr>
          <w:rFonts w:ascii="Arial" w:hAnsi="Arial"/>
          <w:color w:val="404040"/>
          <w:sz w:val="21"/>
        </w:rPr>
        <w:t>Los tres integrantes titulares del consejo serán el presidente de Freeport-McMoRaN Chile, Mario Larenas; la presidenta del directorio de SQM, Gina Ocqueteau; y el presidente de Frutas de Chile, Iván Marambio.</w:t>
      </w:r>
    </w:p>
    <w:p>
      <w:pPr>
        <w:spacing w:before="40" w:after="60"/>
        <w:ind w:left="283"/>
      </w:pPr>
      <w:r>
        <w:rPr>
          <w:rFonts w:ascii="Arial" w:hAnsi="Arial"/>
          <w:color w:val="404040"/>
          <w:sz w:val="21"/>
        </w:rPr>
        <w:t>ElForo de Cooperación Económica Asia Pacífico (APEC) y su arista empresarialya empieza a tomar forma.</w:t>
      </w:r>
    </w:p>
    <w:p>
      <w:pPr>
        <w:spacing w:before="40" w:after="60"/>
        <w:ind w:left="283"/>
      </w:pPr>
      <w:r>
        <w:rPr>
          <w:rFonts w:ascii="Arial" w:hAnsi="Arial"/>
          <w:color w:val="404040"/>
          <w:sz w:val="21"/>
        </w:rPr>
        <w:t>El Consejo Asesor Empresarial de APEC (ABAC, su siglas en inglés) chileno ya fue confirmado por la Subsecretaría de Relaciones Económicas Internacionales (Subrei) y cuenta con nuevos nombres para su representación en lo que será el camino al encuentro en Shenzhen, China, a finales de este año.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Poduje se rebela ante los recortes propuestos por Hacienda: “Tengo un solo jefe, que es el Presidente. Quiroz es un ministro más”</w:t>
      </w:r>
    </w:p>
    <w:p>
      <w:pPr>
        <w:spacing w:before="40" w:after="60"/>
        <w:ind w:left="283"/>
      </w:pPr>
      <w:r>
        <w:rPr>
          <w:rFonts w:ascii="Arial" w:hAnsi="Arial"/>
          <w:color w:val="404040"/>
          <w:sz w:val="21"/>
        </w:rPr>
        <w:t>El ministro de Vivienda afirmó que hoy se le acaba la plata para la reconstrucción en zonas afectadas por incendios, por lo cual “vamos a tener que hacer algunas reasignaciones y espero que el ministro Quiroz nos entregue la plata”.</w:t>
      </w:r>
    </w:p>
    <w:p>
      <w:pPr>
        <w:spacing w:before="40" w:after="60"/>
        <w:ind w:left="283"/>
      </w:pPr>
      <w:r>
        <w:rPr>
          <w:rFonts w:ascii="Arial" w:hAnsi="Arial"/>
          <w:color w:val="404040"/>
          <w:sz w:val="21"/>
        </w:rPr>
        <w:t>En un estado de rebeldía se encuentra el ministro de Vivienda y Urbanismo, Iván Poduje, ante los recortes que está sugiriendo el Ministerio de Hacienda.</w:t>
      </w:r>
    </w:p>
    <w:p>
      <w:pPr>
        <w:spacing w:before="40" w:after="60"/>
        <w:ind w:left="283"/>
      </w:pPr>
      <w:r>
        <w:rPr>
          <w:rFonts w:ascii="Arial" w:hAnsi="Arial"/>
          <w:color w:val="404040"/>
          <w:sz w:val="21"/>
        </w:rPr>
        <w:t>Esta mañana, el secretario de Estado enfatizó que él tiene un solo jefe, que es el Presidente de la República, José Antonio Kast, y que su par de Hacienda, Jorge Quiroz, es uno más del gabinete.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producción industrial cae por sexto mes consecutivo en marzo, mientras que el comercio sigue al alza</w:t>
      </w:r>
    </w:p>
    <w:p>
      <w:pPr>
        <w:spacing w:before="40" w:after="60"/>
        <w:ind w:left="283"/>
      </w:pPr>
      <w:r>
        <w:rPr>
          <w:rFonts w:ascii="Arial" w:hAnsi="Arial"/>
          <w:color w:val="404040"/>
          <w:sz w:val="21"/>
        </w:rPr>
        <w:t>El Índice de Producción Industrial (IPI) marcó un retroceso anual de 3,4% en el tercer mes del año, debido a la incidencia negativa de dos de los tres sectores que lo componen.</w:t>
      </w:r>
    </w:p>
    <w:p>
      <w:pPr>
        <w:spacing w:before="40" w:after="60"/>
        <w:ind w:left="283"/>
      </w:pPr>
      <w:r>
        <w:rPr>
          <w:rFonts w:ascii="Arial" w:hAnsi="Arial"/>
          <w:color w:val="404040"/>
          <w:sz w:val="21"/>
        </w:rPr>
        <w:t>Marzo volvió a mostrar cifras dispares para la actividad económica chilena.</w:t>
      </w:r>
    </w:p>
    <w:p>
      <w:pPr>
        <w:spacing w:before="40" w:after="60"/>
        <w:ind w:left="283"/>
      </w:pPr>
      <w:r>
        <w:rPr>
          <w:rFonts w:ascii="Arial" w:hAnsi="Arial"/>
          <w:color w:val="404040"/>
          <w:sz w:val="21"/>
        </w:rPr>
        <w:t>ElÍndice de Producción Industrial (IPI) marcó un retroceso anual de 3,4% en el tercer mes del año,debido a la incidencia negativa de dos de los tres sectores que lo componen, según informó esta mañana el Instituto Nacional de Estadísticas (INE).</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CFA entrega recomendaciones para perfeccionar regla que rige el gasto del sector público</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Gobierno busca reordenar filas para contener críticas a recortes sugeridos a programas sociales y la PGU</w:t>
      </w:r>
    </w:p>
    <w:p>
      <w:pPr>
        <w:spacing w:before="40" w:after="60"/>
        <w:ind w:left="283"/>
      </w:pPr>
      <w:r>
        <w:rPr>
          <w:rFonts w:ascii="Arial" w:hAnsi="Arial"/>
          <w:color w:val="404040"/>
          <w:sz w:val="21"/>
        </w:rPr>
        <w:t>“Aquí no se va a tocar ningún beneficio, ninguno”, dijo Quiroz antes de participar en una reunión con su par de Interior, el titular de Vivienda y el director de Presupuestos en La Moneda.</w:t>
      </w:r>
    </w:p>
    <w:p>
      <w:pPr>
        <w:spacing w:before="40" w:after="60"/>
        <w:ind w:left="283"/>
      </w:pPr>
      <w:r>
        <w:rPr>
          <w:rFonts w:ascii="Arial" w:hAnsi="Arial"/>
          <w:color w:val="404040"/>
          <w:sz w:val="21"/>
        </w:rPr>
        <w:t>El ministro del Interior, Claudio Alvarado, y su par de Hacienda, Jorge Quiroz. Foto: Aton.</w:t>
      </w:r>
    </w:p>
    <w:p>
      <w:pPr>
        <w:spacing w:before="40" w:after="60"/>
        <w:ind w:left="283"/>
      </w:pPr>
      <w:r>
        <w:rPr>
          <w:rFonts w:ascii="Arial" w:hAnsi="Arial"/>
          <w:color w:val="404040"/>
          <w:sz w:val="21"/>
        </w:rPr>
        <w:t>La polémica por los recortes del gasto público, que podrían afectar beneficios sociales, caló hondo en La Moneda. Y, en consecuencia,el ministro del Interior, Claudio Alvarado, convocó a una reunión este miércoles a sus pares de Hacienda, Jorge Quiroz, y al de Vivienda, Iván Poduje. A ellos se unieron el director de Presupuestos, José Pablo Gómez, y el jefe de asesores del Segundo Piso, Alejandro Irarrázaval.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Más desocupados y más informalidad destacan entre los 10 frentes que reflejan el mal momento del mercado laboral</w:t>
      </w:r>
    </w:p>
    <w:p>
      <w:pPr>
        <w:spacing w:before="40" w:after="60"/>
        <w:ind w:left="283"/>
      </w:pPr>
      <w:r>
        <w:rPr>
          <w:rFonts w:ascii="Arial" w:hAnsi="Arial"/>
          <w:color w:val="404040"/>
          <w:sz w:val="21"/>
        </w:rPr>
        <w:t>Un sabor amargo dejó entre los economistas el aumento del desempleo a 8,9% al cierre del primer trimestre. El escenario es más difícil para las mujeres, las que anotaron una tasa de 10%.</w:t>
      </w:r>
    </w:p>
    <w:p>
      <w:pPr>
        <w:spacing w:before="40" w:after="60"/>
        <w:ind w:left="283"/>
      </w:pPr>
      <w:r>
        <w:rPr>
          <w:rFonts w:ascii="Arial" w:hAnsi="Arial"/>
          <w:color w:val="404040"/>
          <w:sz w:val="21"/>
        </w:rPr>
        <w:t>Datos poco alentadores trajo la última edición de la Encuesta Nacional de Empleo (ENE) que elabora el Instituto Nacional de Estadísticas (INE). Y es que si bien existe consenso entre los analistas respecto a que el mercado laboral no está pasando por su mejor momento y enfrenta retos en materia de generación de puestos de trabajo, las cifras correspondientes al trimestre móvil enero-marzo de 2026 se leyeron como un deterioro adicional y aún más generalizado.</w:t>
      </w:r>
    </w:p>
    <w:p>
      <w:pPr>
        <w:spacing w:before="40" w:after="60"/>
        <w:ind w:left="283"/>
      </w:pPr>
      <w:r>
        <w:rPr>
          <w:rFonts w:ascii="Arial" w:hAnsi="Arial"/>
          <w:color w:val="404040"/>
          <w:sz w:val="21"/>
        </w:rPr>
        <w:t>Un difícil escenario que ya va más allá de solo la tasa de desocupación.</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DF Tax | El eterno debate de las contribuciones</w:t>
      </w:r>
    </w:p>
    <w:p>
      <w:pPr>
        <w:spacing w:before="40" w:after="60"/>
        <w:ind w:left="283"/>
      </w:pPr>
      <w:r>
        <w:rPr>
          <w:rFonts w:ascii="Arial" w:hAnsi="Arial"/>
          <w:color w:val="404040"/>
          <w:sz w:val="21"/>
        </w:rPr>
        <w:t>Ya se acerca la fecha para el pago de la primera cuota de contribuciones o impuesto territorial, y probablemente volverá a encenderse el debate respecto a los criterios de equidad o inequidad que subyacen a este impuesto, y que justifican su permanencia en el tiempo.</w:t>
      </w:r>
    </w:p>
    <w:p>
      <w:pPr>
        <w:spacing w:before="40" w:after="60"/>
        <w:ind w:left="283"/>
      </w:pPr>
      <w:r>
        <w:rPr>
          <w:rFonts w:ascii="Arial" w:hAnsi="Arial"/>
          <w:color w:val="404040"/>
          <w:sz w:val="21"/>
        </w:rPr>
        <w:t>Sabemos que la opinión pública lo percibe como una verdadera expropiación, pues están pagando impuesto sobre activos que fueron adquiridos con rentas que en su momento ya tributaron con el impuesto respectivo. A ello se suma el incremento del avalúo fiscal de las propiedades a un nivel no menor en los años recientes, y más aún, sin que el propio Servicio de Impuestos Internos haya podido transparentar la metodología a través de la cual determina dichos avalúos fiscales o su reajuste en el tiempo, todo lo cual, como ya sabemos, provocó un bochorno de proporciones, que culminó con la renuncia del director de la autoridad tributaria de la época.</w:t>
      </w:r>
    </w:p>
    <w:p>
      <w:pPr>
        <w:spacing w:before="40" w:after="60"/>
        <w:ind w:left="283"/>
      </w:pPr>
      <w:r>
        <w:rPr>
          <w:rFonts w:ascii="Arial" w:hAnsi="Arial"/>
          <w:color w:val="404040"/>
          <w:sz w:val="21"/>
        </w:rPr>
        <w:t>Todo ello, ha llevado a que el nuevo Gobierno, entre sus propuestas tributarias, considere la exención del pago de contribuciones a la primera vivienda, sin que se conozcan aún los detalles específicos de dicha propuesta. Probablemente, sin embargo, surgirán los detractores de siempre que sostendrán que eliminar por completo las contribuciones no es la solución y que ello producirá una merma importante en las arcas fiscales o municipales. Bueno, quizá, no es necesario eliminar las contribuciones del todo, sino simplemente modificar la base sobre la cual se calculan las mismas.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DF Tax | Lo que el radar tributario no alcanza a ver: cómo se explican los resultados la litigiosidad tributaria</w:t>
      </w:r>
    </w:p>
    <w:p>
      <w:pPr>
        <w:spacing w:before="40" w:after="60"/>
        <w:ind w:left="283"/>
      </w:pPr>
      <w:r>
        <w:rPr>
          <w:rFonts w:ascii="Arial" w:hAnsi="Arial"/>
          <w:color w:val="404040"/>
          <w:sz w:val="21"/>
        </w:rPr>
        <w:t>Por Patricio Casas, director de Solución de Controversias Tributarias de Fischer y Cía.</w:t>
      </w:r>
    </w:p>
    <w:p>
      <w:pPr>
        <w:spacing w:before="40" w:after="60"/>
        <w:ind w:left="283"/>
      </w:pPr>
      <w:r>
        <w:rPr>
          <w:rFonts w:ascii="Arial" w:hAnsi="Arial"/>
          <w:color w:val="404040"/>
          <w:sz w:val="21"/>
        </w:rPr>
        <w:t>El reciente Informe N°86 del Observatorio Judicial ofrece una radiografía cuantitativa valiosa del sistema de justicia tributaria chileno. Sus datos son sólidos, sus tendencias reveladoras. Si bien toda estadística captura lo sucedido, no necesariamente da cuenta del porqué. Este análisis agrega capas explicativas a los fenómenos que el informe identifica pero no alcanza a descifrar.</w:t>
      </w:r>
    </w:p>
    <w:p>
      <w:pPr>
        <w:spacing w:before="40" w:after="60"/>
        <w:ind w:left="283"/>
      </w:pPr>
      <w:r>
        <w:rPr>
          <w:rFonts w:ascii="Arial" w:hAnsi="Arial"/>
          <w:color w:val="404040"/>
          <w:sz w:val="21"/>
        </w:rPr>
        <w:t>El impuesto territorial y el reavalúo que ya no existe</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Presidenta de México asegura que irá a Brasil a firmar acuerdo entre Pemex y Petrobras</w:t>
      </w:r>
    </w:p>
    <w:p>
      <w:pPr>
        <w:spacing w:before="40" w:after="60"/>
        <w:ind w:left="283"/>
      </w:pPr>
      <w:r>
        <w:rPr>
          <w:rFonts w:ascii="Arial" w:hAnsi="Arial"/>
          <w:color w:val="404040"/>
          <w:sz w:val="21"/>
        </w:rPr>
        <w:t>La semana pasada la mandataria se reunió con directivos de la petrolera estatal brasileña para hablar sobre una "colaboración" en exploración, producción y transformación de crudo.</w:t>
      </w:r>
    </w:p>
    <w:p>
      <w:pPr>
        <w:spacing w:before="40" w:after="60"/>
        <w:ind w:left="283"/>
      </w:pPr>
      <w:r>
        <w:rPr>
          <w:rFonts w:ascii="Arial" w:hAnsi="Arial"/>
          <w:color w:val="404040"/>
          <w:sz w:val="21"/>
        </w:rPr>
        <w:t>La Presidenta de México,Claudia Sheinbaum,aseguró que espera que las petroleras Pemex y Petrobras alcancen unacuerdo de entendimiento de "colaboración y cooperación"y que ella viajaría a Brasil a firmarlo con su colega Luiz Inácio Lula da Silva, en una fecha que aún no ha sido definida.</w:t>
      </w:r>
    </w:p>
    <w:p>
      <w:pPr>
        <w:spacing w:before="40" w:after="60"/>
        <w:ind w:left="283"/>
      </w:pPr>
      <w:r>
        <w:rPr>
          <w:rFonts w:ascii="Arial" w:hAnsi="Arial"/>
          <w:color w:val="404040"/>
          <w:sz w:val="21"/>
        </w:rPr>
        <w:t>La semana pasada la mandatariase reunió en Ciudad de México con directivos de la petrolera estatal brasileña, encabezados porsu presidenta, Magda Chambriard,cuando hablaron sobre el establecimiento de una "colaboración" con Pemex en la exploración, producción y transformación de crudo.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Brasileña Braskem nombra a CEO de Petrobras como nueva presidenta del directorio</w:t>
      </w:r>
    </w:p>
    <w:p>
      <w:pPr>
        <w:spacing w:before="40" w:after="60"/>
        <w:ind w:left="283"/>
      </w:pPr>
      <w:r>
        <w:rPr>
          <w:rFonts w:ascii="Arial" w:hAnsi="Arial"/>
          <w:color w:val="404040"/>
          <w:sz w:val="21"/>
        </w:rPr>
        <w:t>En una nueva junta, los accionistas de la petroquímica eligieron a Magda Chambriard.</w:t>
      </w:r>
    </w:p>
    <w:p>
      <w:pPr>
        <w:spacing w:before="40" w:after="60"/>
        <w:ind w:left="283"/>
      </w:pPr>
      <w:r>
        <w:rPr>
          <w:rFonts w:ascii="Arial" w:hAnsi="Arial"/>
          <w:color w:val="404040"/>
          <w:sz w:val="21"/>
        </w:rPr>
        <w:t>En una nueva junta, los accionistas de la petroquímica brasileñaBraskemeligieron a Magda Chambriard, CEO de la petrolera estatal Petrobras,como nueva presidenta del directorio de la compañía.</w:t>
      </w:r>
    </w:p>
    <w:p>
      <w:pPr>
        <w:spacing w:before="40" w:after="60"/>
        <w:ind w:left="283"/>
      </w:pPr>
      <w:r>
        <w:rPr>
          <w:rFonts w:ascii="Arial" w:hAnsi="Arial"/>
          <w:color w:val="404040"/>
          <w:sz w:val="21"/>
        </w:rPr>
        <w:t>La medida se produce después de queel conglomeradoNovonorfirmara la semana pasada un acuerdo para vender su participación mayoritaria en Braskem al fondo de capital privado Shine I,controlado por la gestora de activos IG4 Capital.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economía estadounidense decepciona con un crecimiento de 2% en el primer trimestre, aunque mejora tras el cierre de 2025</w:t>
      </w:r>
    </w:p>
    <w:p>
      <w:pPr>
        <w:spacing w:before="40" w:after="60"/>
        <w:ind w:left="283"/>
      </w:pPr>
      <w:r>
        <w:rPr>
          <w:rFonts w:ascii="Arial" w:hAnsi="Arial"/>
          <w:color w:val="404040"/>
          <w:sz w:val="21"/>
        </w:rPr>
        <w:t>La expansión se queda por debajo del 2,2% previsto por los economistas, pero supone una recuperación tras el débil final del año pasado.</w:t>
      </w:r>
    </w:p>
    <w:p>
      <w:pPr>
        <w:spacing w:before="40" w:after="60"/>
        <w:ind w:left="283"/>
      </w:pPr>
      <w:r>
        <w:rPr>
          <w:rFonts w:ascii="Arial" w:hAnsi="Arial"/>
          <w:color w:val="404040"/>
          <w:sz w:val="21"/>
        </w:rPr>
        <w:t>La cifra publicada el jueves por la Oficina de Análisis Económico (EBA) representa un aumento con respecto al crecimiento del 0,5% del último trimestre del año pasado. (Foto: Reuters)</w:t>
      </w:r>
    </w:p>
    <w:p>
      <w:pPr>
        <w:spacing w:before="40" w:after="60"/>
        <w:ind w:left="283"/>
      </w:pPr>
      <w:r>
        <w:rPr>
          <w:rFonts w:ascii="Arial" w:hAnsi="Arial"/>
          <w:color w:val="404040"/>
          <w:sz w:val="21"/>
        </w:rPr>
        <w:t>La economía de Estados Unidos creció a una tasa anualizada del 2% en el primer trimestre, por debajo de las expectativas de Wall Street, a pesar de la recuperación tras un final de año débil hasta 2025.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¿Aliento a Ozempic?: Las nuevas drogas para adelgazar aumentan las ventas de caramelos de menta y chicles</w:t>
      </w:r>
    </w:p>
    <w:p>
      <w:pPr>
        <w:spacing w:before="40" w:after="60"/>
        <w:ind w:left="283"/>
      </w:pPr>
      <w:r>
        <w:rPr>
          <w:rFonts w:ascii="Arial" w:hAnsi="Arial"/>
          <w:color w:val="404040"/>
          <w:sz w:val="21"/>
        </w:rPr>
        <w:t>Debido a que los medicamentos GLP-1 ralentizan la digestión, los usuarios pueden experimentar efectos secundarios, como náuseas, sequedad bucal y un fenómeno conocido como "aliento a Ozempic" o eructos.</w:t>
      </w:r>
    </w:p>
    <w:p>
      <w:pPr>
        <w:spacing w:before="40" w:after="60"/>
        <w:ind w:left="283"/>
      </w:pPr>
      <w:r>
        <w:rPr>
          <w:rFonts w:ascii="Arial" w:hAnsi="Arial"/>
          <w:color w:val="404040"/>
          <w:sz w:val="21"/>
        </w:rPr>
        <w:t>Los medicamentos GLP-1 le han dado un nuevo impulso a los caramelos de menta y chicles. (Foto: Bloomberg)</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guerra en Irán y El Niño amenazan el suministro global del alimento más consumido en el mundo</w:t>
      </w:r>
    </w:p>
    <w:p>
      <w:pPr>
        <w:spacing w:before="40" w:after="60"/>
        <w:ind w:left="283"/>
      </w:pPr>
      <w:r>
        <w:rPr>
          <w:rFonts w:ascii="Arial" w:hAnsi="Arial"/>
          <w:color w:val="404040"/>
          <w:sz w:val="21"/>
        </w:rPr>
        <w:t>El arroz es fundamental para la seguridad alimentaria mundial, e incluso pequeñas interrupciones en el suministro pueden tener un efecto dominó en los países, elevando los precios y ejerciendo presión sobre los presupuestos familiares.</w:t>
      </w:r>
    </w:p>
    <w:p>
      <w:pPr>
        <w:spacing w:before="40" w:after="60"/>
        <w:ind w:left="283"/>
      </w:pPr>
      <w:r>
        <w:rPr>
          <w:rFonts w:ascii="Arial" w:hAnsi="Arial"/>
          <w:color w:val="404040"/>
          <w:sz w:val="21"/>
        </w:rPr>
        <w:t>El arroz es el alimento básico más consumido del mundo. (Foto: Bloomberg)</w:t>
      </w:r>
    </w:p>
    <w:p>
      <w:pPr>
        <w:spacing w:before="40" w:after="60"/>
        <w:ind w:left="283"/>
      </w:pPr>
      <w:r>
        <w:rPr>
          <w:rFonts w:ascii="Arial" w:hAnsi="Arial"/>
          <w:color w:val="404040"/>
          <w:sz w:val="21"/>
        </w:rPr>
        <w:t>Se prevé que el suministro de arroz disminuya este año, a medida que los agricultores reducen la superficie de cultivo en toda Asia debido ala escasez de fertilizantes y al aumento vertiginoso de los costos del combustible provocado por la guerra en Irán, a lo que se suma la aparición de unfenómeno de El Niñoque también reducirá la producción delalimento básico más consumido del mundo.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Uber incorpora la reserva de hoteles con Expedia en su estrategia de convertirse en una “superaplicación”</w:t>
      </w:r>
    </w:p>
    <w:p>
      <w:pPr>
        <w:spacing w:before="40" w:after="60"/>
        <w:ind w:left="283"/>
      </w:pPr>
      <w:r>
        <w:rPr>
          <w:rFonts w:ascii="Arial" w:hAnsi="Arial"/>
          <w:color w:val="404040"/>
          <w:sz w:val="21"/>
        </w:rPr>
        <w:t>El CEO Dara Khosrowshahi afirmó que este acuerdo ayudará a la empresa de transporte a vender suscripciones de pago.</w:t>
      </w:r>
    </w:p>
    <w:p>
      <w:pPr>
        <w:spacing w:before="40" w:after="60"/>
        <w:ind w:left="283"/>
      </w:pPr>
      <w:r>
        <w:rPr>
          <w:rFonts w:ascii="Arial" w:hAnsi="Arial"/>
          <w:color w:val="404040"/>
          <w:sz w:val="21"/>
        </w:rPr>
        <w:t>Uber se expandirá al sector de reservas hoteleras con el grupo turístico Expedia, con el objetivo de convertirse en una “superaplicación” y aumentar las ventas de suscripciones premium.</w:t>
      </w:r>
    </w:p>
    <w:p>
      <w:pPr>
        <w:spacing w:before="40" w:after="60"/>
        <w:ind w:left="283"/>
      </w:pPr>
      <w:r>
        <w:rPr>
          <w:rFonts w:ascii="Arial" w:hAnsi="Arial"/>
          <w:color w:val="404040"/>
          <w:sz w:val="21"/>
        </w:rPr>
        <w:t>La aplicación de transporte anunció este miércoles que permitirá a sus clientes reservar y pagar hoteles a través de Expedia dentro de la aplicación de Uber, ofreciendo descuentos y reembolsos en forma de créditos para viajes como incentivos para impulsar el servicio.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Elon Musk admite que fue “un tonto” al financiar el lanzamiento de OpenAI</w:t>
      </w:r>
    </w:p>
    <w:p>
      <w:pPr>
        <w:spacing w:before="40" w:after="60"/>
        <w:ind w:left="283"/>
      </w:pPr>
      <w:r>
        <w:rPr>
          <w:rFonts w:ascii="Arial" w:hAnsi="Arial"/>
          <w:color w:val="404040"/>
          <w:sz w:val="21"/>
        </w:rPr>
        <w:t>Dijo que Sam Altman buscaba el prestigio de una organización sin fines de lucro mientras se enriquecía.</w:t>
      </w:r>
    </w:p>
    <w:p>
      <w:pPr>
        <w:spacing w:before="40" w:after="60"/>
        <w:ind w:left="283"/>
      </w:pPr>
      <w:r>
        <w:rPr>
          <w:rFonts w:ascii="Arial" w:hAnsi="Arial"/>
          <w:color w:val="404040"/>
          <w:sz w:val="21"/>
        </w:rPr>
        <w:t>Elon Musk declaró ante un jurado este miércoles que fue “un tonto” al proporcionar el financiamiento inicial a OpenAI, alegando que creía que la empresa creadora de ChatGPT, valorada en US$ 850 mil millones, seguiría siendo una organización sin fines de lucro.</w:t>
      </w:r>
    </w:p>
    <w:p>
      <w:pPr>
        <w:spacing w:before="40" w:after="60"/>
        <w:ind w:left="283"/>
      </w:pPr>
      <w:r>
        <w:rPr>
          <w:rFonts w:ascii="Arial" w:hAnsi="Arial"/>
          <w:color w:val="404040"/>
          <w:sz w:val="21"/>
        </w:rPr>
        <w:t>El multimillonario testificó ante un tribunal federal en Oakland, California, como primer testigo en su demanda contra Sam Altman, OpenAI y su principal accionista, Microsoft.</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Habilitan continuidad de proyecto minero de BHP y Lundin en Argentina</w:t>
      </w:r>
    </w:p>
    <w:p>
      <w:pPr>
        <w:spacing w:before="40" w:after="60"/>
        <w:ind w:left="283"/>
      </w:pPr>
      <w:r>
        <w:rPr>
          <w:rFonts w:ascii="Arial" w:hAnsi="Arial"/>
          <w:color w:val="404040"/>
          <w:sz w:val="21"/>
        </w:rPr>
        <w:t>La justicia acogió la cautelar presentada por las compañías en conflicto con la provincia de La Rioja.</w:t>
      </w:r>
    </w:p>
    <w:p>
      <w:pPr>
        <w:spacing w:before="40" w:after="60"/>
        <w:ind w:left="283"/>
      </w:pPr>
      <w:r>
        <w:rPr>
          <w:rFonts w:ascii="Arial" w:hAnsi="Arial"/>
          <w:color w:val="404040"/>
          <w:sz w:val="21"/>
        </w:rPr>
        <w:t>La justicia de la provincia argentina de San Juan habilitó la continuidad del proyecto minero Vicuña, una iniciativa de cobre y oro valorizada en US$ 18 mil millones y desarrollada por BHP y Lundin Mining.</w:t>
      </w:r>
    </w:p>
    <w:p>
      <w:pPr>
        <w:spacing w:before="40" w:after="60"/>
        <w:ind w:left="283"/>
      </w:pPr>
      <w:r>
        <w:rPr>
          <w:rFonts w:ascii="Arial" w:hAnsi="Arial"/>
          <w:color w:val="404040"/>
          <w:sz w:val="21"/>
        </w:rPr>
        <w:t>La decisión responde a una medida cautelar presentada por ambas compañías tras un conflicto con la provincia de La Rioja, jurisdicción que había impuesto restricciones al tránsito en una ruta provincial clave para el desarrollo de las faenas.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ChileBio afirma que el país tiene el potencial de convertirse en un “hub de semillas editadas genéticamente”</w:t>
      </w:r>
    </w:p>
    <w:p>
      <w:pPr>
        <w:spacing w:before="40" w:after="60"/>
        <w:ind w:left="283"/>
      </w:pPr>
      <w:r>
        <w:rPr>
          <w:rFonts w:ascii="Arial" w:hAnsi="Arial"/>
          <w:color w:val="404040"/>
          <w:sz w:val="21"/>
        </w:rPr>
        <w:t>Se está incubando una nueva industria a partir de la investigación y desarrollo de variedades vegetales con ADN editado para mejorar sus propiedades o hacerlas resistentes a enfermedades y al cambio climático.</w:t>
      </w:r>
    </w:p>
    <w:p>
      <w:pPr>
        <w:spacing w:before="40" w:after="60"/>
        <w:ind w:left="283"/>
      </w:pPr>
      <w:r>
        <w:rPr>
          <w:rFonts w:ascii="Arial" w:hAnsi="Arial"/>
          <w:color w:val="404040"/>
          <w:sz w:val="21"/>
        </w:rPr>
        <w:t>Trigo alto en fibra de Neocrop Technologies. Foto: Neocrop Technologies</w:t>
      </w:r>
    </w:p>
    <w:p>
      <w:pPr>
        <w:spacing w:before="40" w:after="60"/>
        <w:ind w:left="283"/>
      </w:pPr>
      <w:r>
        <w:rPr>
          <w:rFonts w:ascii="Arial" w:hAnsi="Arial"/>
          <w:color w:val="404040"/>
          <w:sz w:val="21"/>
        </w:rPr>
        <w:t>Una nueva industria comienza a incubarse en Chile: las semillas editadas genéticamente. Si bien aún no hay productos en el mercado, hay universidades y startups que están investigando y desarrollando nuevas variedades vegetales con propiedades mejoradas, que se proyectan como una alternativa para avanzar en la seguridad alimentaria.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Claro mensaje del Banco Central</w:t>
      </w:r>
    </w:p>
    <w:p>
      <w:pPr>
        <w:spacing w:after="80"/>
      </w:pPr>
      <w:r>
        <w:rPr>
          <w:rFonts w:ascii="Arial" w:hAnsi="Arial"/>
          <w:i/>
          <w:color w:val="999999"/>
          <w:sz w:val="20"/>
        </w:rPr>
        <w:t>(Sin detalle disponible.)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Uso de la IA en causas judiciales</w:t>
      </w:r>
    </w:p>
    <w:p>
      <w:pPr>
        <w:spacing w:before="40" w:after="60"/>
        <w:ind w:left="283"/>
      </w:pPr>
      <w:r>
        <w:rPr>
          <w:rFonts w:ascii="Arial" w:hAnsi="Arial"/>
          <w:color w:val="404040"/>
          <w:sz w:val="21"/>
        </w:rPr>
        <w:t>De iniciativa propia y en atención a la presentación de una demanda, el Tribunal de Defensa de la Libre Competencia sancionó con una multa a beneficio fiscal a un abogado patrocinante que, en la presentación de su escrito, transcribió supuestas citas de sentencias del tribunal que no existen. La revisión del escrito deja en evidencia el uso de mecanismos de inteligencia artificial para su redacción.</w:t>
      </w:r>
    </w:p>
    <w:p>
      <w:pPr>
        <w:spacing w:before="40" w:after="60"/>
        <w:ind w:left="283"/>
      </w:pPr>
      <w:r>
        <w:rPr>
          <w:rFonts w:ascii="Arial" w:hAnsi="Arial"/>
          <w:color w:val="404040"/>
          <w:sz w:val="21"/>
        </w:rPr>
        <w:t>El caso pone de relieve, a lo menos, tres aspectos dignos de destacar: la correcta y oportuna iniciativa del tribunal; la posibilidad de que, a petición de parte, se soliciten sanciones frente al mal uso de la IA; y la urgencia de establecer para los actores del sistema judicial un marco de lineamientos en la materia.</w:t>
      </w:r>
    </w:p>
    <w:p>
      <w:pPr>
        <w:spacing w:before="40" w:after="60"/>
        <w:ind w:left="283"/>
      </w:pPr>
      <w:r>
        <w:rPr>
          <w:rFonts w:ascii="Arial" w:hAnsi="Arial"/>
          <w:color w:val="404040"/>
          <w:sz w:val="21"/>
        </w:rPr>
        <w:t>El Pleno de la Corte Suprema advirtió el año pasado que el uso de herramientas de IA en la función jurisdiccional exige la máxima cautela, identificó como uno de sus riesgos la generación de respuestas opacas o inexactas, y entregó orientación práctica que los jueces verifiquen siempre de manera independiente esta información. Esta orientación deberíamos seguirla todos los auxiliares de la administración de justicia.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Fin de la franquicia Sence</w:t>
      </w:r>
    </w:p>
    <w:p>
      <w:pPr>
        <w:spacing w:before="40" w:after="60"/>
        <w:ind w:left="283"/>
      </w:pPr>
      <w:r>
        <w:rPr>
          <w:rFonts w:ascii="Arial" w:hAnsi="Arial"/>
          <w:color w:val="404040"/>
          <w:sz w:val="21"/>
        </w:rPr>
        <w:t>Durante décadas, la franquicia tributaria del Sence fue una herramienta útil, especialmente para la PYME, pero con el tiempo derivó en prácticas que distorsionaron su propósito. Hoy el desafío es distinto. Chile requiere una política pública renovada, basada en la cooperación entre Estado, trabajadores y empresas, orientada directamente a elevar la productividad, que ha estado estancada más de una década. Sistemas como ChileValora representan avances, pero con cobertura aún insuficiente. La evidencia internacional muestra que modelos duales, como los de Alemania o Dinamarca, integran formación teórica y práctica, alineando capacidades con las necesidades del mercado. Ese es el estándar hacia el cual Chile debería avanzar.</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30 de abril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