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8 De Mayo De 2026</w:t>
      </w:r>
    </w:p>
    <w:p>
      <w:pPr>
        <w:jc w:val="center"/>
      </w:pPr>
      <w:r>
        <w:rPr>
          <w:rFonts w:ascii="Arial" w:hAnsi="Arial"/>
          <w:color w:val="999999"/>
          <w:sz w:val="20"/>
        </w:rPr>
        <w:t>6 secciones  ·  22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pierde los 10.800 puntos en primeros negocios tras recientes enfrentamientos en el golfo Pérsico</w:t>
      </w:r>
    </w:p>
    <w:p>
      <w:pPr>
        <w:spacing w:before="40" w:after="60"/>
        <w:ind w:left="283"/>
      </w:pPr>
      <w:r>
        <w:rPr>
          <w:rFonts w:ascii="Arial" w:hAnsi="Arial"/>
          <w:color w:val="404040"/>
          <w:sz w:val="21"/>
        </w:rPr>
        <w:t>El S&amp;P IPSA retrocedía 0,7% hasta los 10.799 puntos este viernes, arrastrado por Latam y Falabella, en contraste con las ganancias de Copec tras sus sólidos resultados trimestrales. La tensión en el golfo Pérsico pesó sobre los mercados globales, con bolsas europeas a la baja y el petróleo Brent estable en torno a US$ 100 el barril, luego de que EEUU atacara instalaciones militares iraníes y Teherán incautara un petrolero. En tanto, Wall Street subía impulsado por un positivo reporte de empleo, mientras los mercados esperaban la respuesta de Irán a la propuesta de paz estadounidense. Las tasas swap locales bajaron tras el dato de IPC de abril, que resultó inferior a lo previsto.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Chile Day arranca en Nueva York con foco en reforma previsional, inversión y mercado de capitales</w:t>
      </w:r>
    </w:p>
    <w:p>
      <w:pPr>
        <w:spacing w:before="40" w:after="60"/>
        <w:ind w:left="283"/>
      </w:pPr>
      <w:r>
        <w:rPr>
          <w:rFonts w:ascii="Arial" w:hAnsi="Arial"/>
          <w:color w:val="404040"/>
          <w:sz w:val="21"/>
        </w:rPr>
        <w:t>La edición 2026 de Chile Day inició en Nueva York con más de 500 asistentes entre autoridades e inversionistas internacionales, con foco en la reforma previsional aprobada en 2025 y las perspectivas del mercado de capitales chileno. El presidente de InBest Chile, Cristóbal Torres, destacó que el acuerdo previsional fue una señal de madurez institucional y que elevará el ahorro nacional y el flujo de capital de largo plazo. También subrayó que el sector financiero representa apenas el 3% del PIB, por debajo de países comparables, y que profundizarlo es esencial para financiar infraestructura y crédito hipotecario. El encuentro, que continuará la próxima semana en Toronto, incluirá la exposición del ministro de Hacienda Jorge Quiroz sobre el plan de reconstrucción y reactivación económica.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a la baja y pierde los $ 890 mientras el cobre avanza firme a pesar del reciente choque en el estrecho de Ormuz</w:t>
      </w:r>
    </w:p>
    <w:p>
      <w:pPr>
        <w:spacing w:before="40" w:after="60"/>
        <w:ind w:left="283"/>
      </w:pPr>
      <w:r>
        <w:rPr>
          <w:rFonts w:ascii="Arial" w:hAnsi="Arial"/>
          <w:color w:val="404040"/>
          <w:sz w:val="21"/>
        </w:rPr>
        <w:t>El dólar cayó $ 6,2 en la apertura, hasta los $ 888,9, mientras el mercado apostaba por un acuerdo entre EEUU e Irán y el precio del cobre subía 1,8% hasta US$ 6,29 por libra en el Comex, acercándose a los máximos de enero. El IPC de abril subió 1,3%, por debajo de la expectativa de 1,5%, lo que presionó a la baja las tasas swap locales. Las nóminas no agrícolas de EEUU sorprendieron al alza con 115.000 nuevos empleos, frente a un consenso de apenas 63.000. Por su parte, un tribunal de comercio estadounidense falló en contra de los aranceles del 10% de Trump, aunque el efecto fue acotado a dos importadores y el estado de Washington.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Diego Masola, CEO y country head de Scotiabank Chile: “La invariabilidad tributaria sería espectacular, pero no es una condición única y suficiente”</w:t>
      </w:r>
    </w:p>
    <w:p>
      <w:pPr>
        <w:spacing w:before="40" w:after="60"/>
        <w:ind w:left="283"/>
      </w:pPr>
      <w:r>
        <w:rPr>
          <w:rFonts w:ascii="Arial" w:hAnsi="Arial"/>
          <w:color w:val="404040"/>
          <w:sz w:val="21"/>
        </w:rPr>
        <w:t>El máximo ejecutivo del banco canadiense en suelo chileno será uno de los anfitriones de la nueva edición de Chile Day que parte este viernes en Nueva York y continúa la próxima semana en Toronto. Con una nutrida agenda que reunirá a más de 500 asistentes -entre autoridades públicas y actores del mercado local e internacional-este viernes en Nueva York, Estados Unidos, comenzará una nueva edición de Chile Day. Uno de los temas que se tomará la agenda de la primera jornada seráel proyecto de reconstrucción y reactivación económica del gobierno, mediante una exposición del ministro de Hacienda, Jorge Quiroz.</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Comité de Ministros destraba más de US$ 200 millones en inversiones con luz verde a proyecto más antiguo en tramitación ambiental</w:t>
      </w:r>
    </w:p>
    <w:p>
      <w:pPr>
        <w:spacing w:before="40" w:after="60"/>
        <w:ind w:left="283"/>
      </w:pPr>
      <w:r>
        <w:rPr>
          <w:rFonts w:ascii="Arial" w:hAnsi="Arial"/>
          <w:color w:val="404040"/>
          <w:sz w:val="21"/>
        </w:rPr>
        <w:t>El Comité de Ministros celebró su cuarta sesión bajo el gobierno de Kast y desbloqueó dos proyectos que suman más de US$ 200 millones en inversión. El primero es la Planta de Producción de Sales de Potasio del Grupo Errázuriz, ingresada en 2009 y con una inversión actualizada de US$ 143 millones, que recibió su Resolución de Calificación Ambiental favorable. El segundo es un proyecto de control aluvional del MOP en la Quebrada de Ramón, por US$ 76,5 millones, cuya RCA fue ratificada tras rechazarse una reclamación de terceros. Con estas aprobaciones, el gobierno indicó que en menos de dos meses ha dado curso a proyectos por más de US$ 3.000 millones.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Albemarle inicia el año con fuerte recuperación ante repunte del litio y ve demanda “resiliente” pese a guerra</w:t>
      </w:r>
    </w:p>
    <w:p>
      <w:pPr>
        <w:spacing w:before="40" w:after="60"/>
        <w:ind w:left="283"/>
      </w:pPr>
      <w:r>
        <w:rPr>
          <w:rFonts w:ascii="Arial" w:hAnsi="Arial"/>
          <w:color w:val="404040"/>
          <w:sz w:val="21"/>
        </w:rPr>
        <w:t>La firma estadounidense reportó un alza del 671% en su beneficio neto, impulsado por un repunte del 51% en el precio del litio entre enero y marzo. Tras cerrar 2025 en rojo, la gigante de litio Albemarle inició 2026 con un sólido desempeño, que incluso superó las expectativas del mercado. Así, impulsada por un repunte en el precio de este estratégico mineral y el aumento de su demanda, la firma estadounidense reportó ventas netas de US$ 1.400 millones en el primer trimestre, un 33% por sobre las del mismo período de 2025.</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Expertos en derecho ambiental cuestionan propuesta para compensar gastos por RCA anulada</w:t>
      </w:r>
    </w:p>
    <w:p>
      <w:pPr>
        <w:spacing w:before="40" w:after="60"/>
        <w:ind w:left="283"/>
      </w:pPr>
      <w:r>
        <w:rPr>
          <w:rFonts w:ascii="Arial" w:hAnsi="Arial"/>
          <w:color w:val="404040"/>
          <w:sz w:val="21"/>
        </w:rPr>
        <w:t>Cuatro académicos especializados en derecho ambiental criticaron el mecanismo del proyecto misceláneo que busca restituir a titulares los gastos incurridos cuando una Resolución de Calificación Ambiental es anulada judicialmente. El exministro Luis Cordero señaló que la norma genera el incentivo perverso de que la administración litigue para evitar pagar, conspirando contra sus propios propósitos. El profesor Patricio Leyton coincidió en que la regla no apunta al problema que pretende resolver y enreda el sistema, mientras que Dominique Hervé advirtió que debilita la independencia de los jueces ambientales al incorporar implícitamente un costo económico en sus decisiones. La abogada Paulina Riquelme planteó que el mecanismo podría generar una postura defensiva en los organismos públicos, incentivándolos a rechazar proyectos para evitar riesgos de responsabilidad fiscal.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Subtel por bloqueo de apuestas online: “Hay que ver cuánto nos permite la normativa exigirle a las compañías”</w:t>
      </w:r>
    </w:p>
    <w:p>
      <w:pPr>
        <w:spacing w:before="40" w:after="60"/>
        <w:ind w:left="283"/>
      </w:pPr>
      <w:r>
        <w:rPr>
          <w:rFonts w:ascii="Arial" w:hAnsi="Arial"/>
          <w:color w:val="404040"/>
          <w:sz w:val="21"/>
        </w:rPr>
        <w:t>La titular afirmó que trabajan en un protocolo técnico para delinear el cumplimiento del último fallo de la Corte Suprema. Romina Garrido, subsecretaria de Telecomunicaciones. El último fallo de la Corte Suprema fue tajante: las empresas de telecomunicaciones (como Entel, Gtd, WOM, Claro y Movistar) deben bloquear una serie de sitios de apuestas online ilegales, incluidos aquellos “sitios espejo” que las mismas plataformas crearon luego de una primera prohibición mandatada por el máximo tribunal en 2024.</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Días clave en Codelco: inminente nombramiento de directores, cambios en plana mayor y en NovaAndino</w:t>
      </w:r>
    </w:p>
    <w:p>
      <w:pPr>
        <w:spacing w:before="40" w:after="60"/>
        <w:ind w:left="283"/>
      </w:pPr>
      <w:r>
        <w:rPr>
          <w:rFonts w:ascii="Arial" w:hAnsi="Arial"/>
          <w:color w:val="404040"/>
          <w:sz w:val="21"/>
        </w:rPr>
        <w:t>El gobierno de Kast anunciará la próxima semana los nuevos directores de Codelco, con el economista Bernardo Fontaine como probable chairman y Luz Granier como directora, en reemplazo de tres miembros cuyos períodos vencen entre el 11 y 25 de mayo. El nuevo directorio deberá abordar una reorganización corporativa que implicaría la salida del presidente ejecutivo Rubén Alvarado —posiblemente a fin de año—, así como cambios en las vicepresidencias de operaciones y proyectos. Además, el gobierno buscará reemplazar a Máximo Pacheco en la presidencia de NovaAndino, la filial de litio compartida con SQM, una decisión que generará tensiones internas en el directorio. Los head hunters consultados coinciden en que liderar Codelco es difícil dada la complejidad organizacional, las remuneraciones no competitivas, la deuda de US$ 23.000 millones y el entorno geopolítico actual.</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Johannes Kaiser : “El PDG es un estado de ánimo, no tiene una definición política”</w:t>
      </w:r>
    </w:p>
    <w:p>
      <w:pPr>
        <w:spacing w:before="40" w:after="60"/>
        <w:ind w:left="283"/>
      </w:pPr>
      <w:r>
        <w:rPr>
          <w:rFonts w:ascii="Arial" w:hAnsi="Arial"/>
          <w:color w:val="404040"/>
          <w:sz w:val="21"/>
        </w:rPr>
        <w:t>Al dirigente no le sorprendió “para nada” el quiebre entre la colectividad fundada por Franco Parisi y el Ejecutivo. El dirigente libertario fue entrevistado en la Vereda Política de Diario Financiero. Elpresidente del Partido Nacional Libertario (PNL), excandidato presidencial y exdiputado Johannes Kaiser,analizó los alcances del proyecto de reactivación económica del gobierno, en la Vereda Política de Diario Financiero, e incluso apuntó a que “pudo haber sido más ambicioso”.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Nuevo líder del Plan de Fortalecimiento Industrial del Biobío asume con foco en destrabar permisos: "16 mil empleos para la región se podrían generar con estos proyectos"</w:t>
      </w:r>
    </w:p>
    <w:p>
      <w:pPr>
        <w:spacing w:before="40" w:after="60"/>
        <w:ind w:left="283"/>
      </w:pPr>
      <w:r>
        <w:rPr>
          <w:rFonts w:ascii="Arial" w:hAnsi="Arial"/>
          <w:color w:val="404040"/>
          <w:sz w:val="21"/>
        </w:rPr>
        <w:t>El seremi de Economía Christian Cifuentes asumió el liderazgo del Plan de Fortalecimiento Industrial del Biobío tras la renuncia de Carolina Parada, con el objetivo de articularlo con la estrategia regional Biobío 2050. El nuevo titular identificó proyectos energéticos —cuatro parques eólicos— y habitacionales en carpeta que podrían generar 16.000 empleos directos e indirectos en el corto plazo, en una región que registra la mayor tasa de desempleo del país con un 10%. La gestión se apoyará en la Ley Marco de Autorizaciones Sectoriales para acelerar permisos y revertir la pérdida de competitividad que ha llevado a grandes forestales como Arauco y CMPC a priorizar inversiones en el exterior. El plan mantendrá una gobernanza público-privada con participación de trabajadores, empresarios y gremios.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IPC de abril sube con fuerza pero menos que lo esperado tras el aumento de la gasolina y la inflación en 12 meses se acelera a 4%</w:t>
      </w:r>
    </w:p>
    <w:p>
      <w:pPr>
        <w:spacing w:before="40" w:after="60"/>
        <w:ind w:left="283"/>
      </w:pPr>
      <w:r>
        <w:rPr>
          <w:rFonts w:ascii="Arial" w:hAnsi="Arial"/>
          <w:color w:val="404040"/>
          <w:sz w:val="21"/>
        </w:rPr>
        <w:t>El Índice de Precios al Consumidor de abril avanzó 1,3%, por debajo del consenso de 1,5%, acelerando la inflación anual hasta el 4,0%. El principal driver fue la gasolina, que subió 25,3% mensual aportando 0,774 puntos al índice, mientras el diésel escaló 45,7% y el transporte interurbano en bus un 18,6%. Banco Santander destacó que, más allá del impacto energético puntual, aún no se observa un traspaso generalizado de los mayores costos al resto de la canasta, lo que otorga cierto margen a la política monetaria. Los analistas estiman que, si persiste el cierre del estrecho de Ormuz, los riesgos inflacionarios permanecen sesgados al alza en los próximos meses, aunque ven espacio para mantener la TPM en 4,5% por un período prolongado.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Las dudas que levantó JPMorgan sobre la iniciativa de reconstrucción y reactivación, con foco en el impacto fiscal</w:t>
      </w:r>
    </w:p>
    <w:p>
      <w:pPr>
        <w:spacing w:before="40" w:after="60"/>
        <w:ind w:left="283"/>
      </w:pPr>
      <w:r>
        <w:rPr>
          <w:rFonts w:ascii="Arial" w:hAnsi="Arial"/>
          <w:color w:val="404040"/>
          <w:sz w:val="21"/>
        </w:rPr>
        <w:t>JPMorgan evaluó el proyecto de reactivación del gobierno como la propuesta más ambiciosa de crecimiento sin relajar la disciplina fiscal, pero planteó serias dudas sobre su viabilidad financiera. El economista Diego Pereira advirtió que los costos fiscales son inmediatos y prácticamente inevitables, mientras que los beneficios dependen de respuestas conductuales difíciles de controlar, como las decisiones de inversión y aumentos de productividad. El banco planteó tres escenarios: en el más optimista, la deuda aún se acercaría al techo prudente del 45% del PIB y solo generaría un espacio fiscal de 0,55% del PIB hacia el año 15; en el más pesimista, el plan resultaría permanentemente costoso, añadiendo hasta 0,52% del PIB al déficit. Particular preocupación generó el crédito tributario al empleo, cuyo costo estático alcanza el 0,4% del PIB y cuya efectividad depende críticamente de si logra reducir la informalidad.</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El llamado de Marfán a una mesa técnica y el respaldo de Vergara: reforma sigue bajo la lupa de exautoridades</w:t>
      </w:r>
    </w:p>
    <w:p>
      <w:pPr>
        <w:spacing w:before="40" w:after="60"/>
        <w:ind w:left="283"/>
      </w:pPr>
      <w:r>
        <w:rPr>
          <w:rFonts w:ascii="Arial" w:hAnsi="Arial"/>
          <w:color w:val="404040"/>
          <w:sz w:val="21"/>
        </w:rPr>
        <w:t>El exministro de Hacienda Manuel Marfán propuso crear una mesa técnica pluralista con economistas y abogados de distintas visiones para mejorar el proyecto de reactivación antes de su discusión parlamentaria, identificando esta como una oportunidad histórica que sería un error desaprovechar. El expresidente del Banco Central Rodrigo Vergara valoró el plan como bien orientado y espera que sea aprobado con los ajustes necesarios, aunque reconoció que está desfinanciado y que el gobierno deberá complementarlo con contención del gasto público. Vergara cuestionó los supuestos relativos al efecto de la invariabilidad tributaria sobre el crecimiento, calificándolos de más débiles que los de otras medidas. También planteó que la estimación de crecimiento adicional de 0,7 puntos porcentuales en diez años es insuficiente para cumplir la promesa gubernamental de elevar el PIB tendencial del 2% al 4%.</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La inflación se empieza a sentir en los salarios: acumulan leve baja a marzo</w:t>
      </w:r>
    </w:p>
    <w:p>
      <w:pPr>
        <w:spacing w:before="40" w:after="60"/>
        <w:ind w:left="283"/>
      </w:pPr>
      <w:r>
        <w:rPr>
          <w:rFonts w:ascii="Arial" w:hAnsi="Arial"/>
          <w:color w:val="404040"/>
          <w:sz w:val="21"/>
        </w:rPr>
        <w:t>La aceleración inflacionaria producto del alza de combustibles comenzó a erosionar el poder adquisitivo de los trabajadores chilenos, con el índice real de remuneraciones acumulando una baja de 0,1% en lo que va del año a marzo. En términos nominales, el Índice de Remuneraciones creció 5,1% anual y el Índice de Costos Laborales subió 6%, pero el avance del IPC anuló los incrementos en términos reales. Los sectores de comercio, construcción e industria manufacturera registraron las mayores incidencias positivas anuales en ambos indicadores nominales.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Proyecto misceláneo supera primera valla en el Congreso y Quiroz sigue en conversaciones de cara a primeras indicaciones</w:t>
      </w:r>
    </w:p>
    <w:p>
      <w:pPr>
        <w:spacing w:before="40" w:after="60"/>
        <w:ind w:left="283"/>
      </w:pPr>
      <w:r>
        <w:rPr>
          <w:rFonts w:ascii="Arial" w:hAnsi="Arial"/>
          <w:color w:val="404040"/>
          <w:sz w:val="21"/>
        </w:rPr>
        <w:t>La comisión de Hacienda de la Cámara aprobó la idea de legislar del proyecto de reactivación con ocho votos oficialistas, cuatro votos en contra de la oposición y la abstención de la diputada del PDG Zandra Parisi, en una tensa sesión de seis horas marcada por enfrentamientos verbales entre parlamentarios y el Ejecutivo. El plazo para presentar indicaciones vence el lunes 11 de mayo, con el proceso de votación en particular comenzando desde el martes 12, con la meta de despachar las comisiones de Trabajo y Medio Ambiente antes del feriado del 21 de mayo. Entre las principales medidas destacan la reducción del impuesto corporativo del 27% al 23%, la reintegración del sistema de renta, la invariabilidad tributaria por 25 años para proyectos desde US$ 50 millones, y la eliminación del impuesto a las ganancias de capital en operaciones bursátiles. El ministro Quiroz valoró el resultado como un sólido punto de partida y reportó avances en las conversaciones con el PDG, cuya abstención interpretó como señal positiva.</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Trump asegura que el alto el fuego se mantiene y Rubio anticipa que Irán responderá hoy a la propuesta de EEUU</w:t>
      </w:r>
    </w:p>
    <w:p>
      <w:pPr>
        <w:spacing w:before="40" w:after="60"/>
        <w:ind w:left="283"/>
      </w:pPr>
      <w:r>
        <w:rPr>
          <w:rFonts w:ascii="Arial" w:hAnsi="Arial"/>
          <w:color w:val="404040"/>
          <w:sz w:val="21"/>
        </w:rPr>
        <w:t>Tras un nuevo intercambio de ataques el jueves, EEUU e Irán se culparon mutuamente de haber provocado el incidente, con Washington alegando que destruyó activos militares iraníes en respuesta a ataques contra destructores en el estrecho de Ormuz y Teherán acusando a EEUU de violar el alto al fuego vigente desde el 8 de abril. Trump calificó los ataques estadounidenses como un 'golpe de cortesía' y reiteró que la tregua sigue en pie, mientras Emiratos Árabes Unidos anunció la interceptación de nuevos drones y misiles iraníes disparados contra su territorio. El secretario de Estado Marco Rubio anticipó que ese mismo viernes recibirían la respuesta de Irán al memorándum de entendimiento propuesto por EEUU para poner fin al conflicto. El crudo Brent cotizaba estable cerca de US$ 100 el barril, con los mercados a la espera de una resolución diplomática.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startup de scooters y bicicletas eléctricas Lime prepara su apertura en bolsa con una valorización por US$ 2.000 millones</w:t>
      </w:r>
    </w:p>
    <w:p>
      <w:pPr>
        <w:spacing w:before="40" w:after="60"/>
        <w:ind w:left="283"/>
      </w:pPr>
      <w:r>
        <w:rPr>
          <w:rFonts w:ascii="Arial" w:hAnsi="Arial"/>
          <w:color w:val="404040"/>
          <w:sz w:val="21"/>
        </w:rPr>
        <w:t>Lime, la empresa de micromovilidad respaldada por Uber, presentó su formulario S-1 para cotizar en el Nasdaq con el símbolo 'LIME', apuntando a una valorización de US$ 2.000 millones, cuatro veces superior a su última valoración de 2020. La compañía, que opera en 230 ciudades de 29 países, reportó ingresos de US$ 886 millones en 2025 —un alza de 29%— aunque sus pérdidas netas aumentaron 75% hasta US$ 59,3 millones en el mismo período. Sus principales fortalezas son el flujo de caja libre positivo de US$ 103,8 millones en 2025 y la mejora del margen bruto del 32,4% al 39% en los últimos dos años. Goldman Sachs y JPMorgan gestionan la OPI, aunque Lime advirtió que podría no lograr rentabilidad en el futuro y enfrenta litigios por lesiones a usuarios en el Reino Unido.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Creación de empleo crece más de lo esperado en Estados Unidos durante abril</w:t>
      </w:r>
    </w:p>
    <w:p>
      <w:pPr>
        <w:spacing w:before="40" w:after="60"/>
        <w:ind w:left="283"/>
      </w:pPr>
      <w:r>
        <w:rPr>
          <w:rFonts w:ascii="Arial" w:hAnsi="Arial"/>
          <w:color w:val="404040"/>
          <w:sz w:val="21"/>
        </w:rPr>
        <w:t>El mercado laboral estadounidense creó 115.000 empleos en abril, superando ampliamente las expectativas del consenso que rondaban los 55.000 a 63.000 puestos, en un contexto donde se temía un mayor impacto de la guerra en Medio Oriente. La tasa de desempleo se mantuvo estable en 4,3%, mientras que el salario medio por hora creció un 3,6% interanual, por debajo de lo proyectado. Los datos reflejan un mercado laboral en proceso de estabilización, aunque con demanda aún baja y reducción en los flujos migratorios que ha llevado a ajustar hacia abajo el estándar de creación de empleos considerado robusto. La cifra le otorga a la Reserva Federal margen para mantener las tasas de interés sin cambios mientras monitorea los riesgos inflacionarios derivados del conflicto con Irán.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Los precios mundiales de los alimentos alcanzan su nivel más alto en tres años debido a los mayores costos por la guerra en Medio Oriente</w:t>
      </w:r>
    </w:p>
    <w:p>
      <w:pPr>
        <w:spacing w:before="40" w:after="60"/>
        <w:ind w:left="283"/>
      </w:pPr>
      <w:r>
        <w:rPr>
          <w:rFonts w:ascii="Arial" w:hAnsi="Arial"/>
          <w:color w:val="404040"/>
          <w:sz w:val="21"/>
        </w:rPr>
        <w:t>El índice de precios de alimentos básicos de la FAO subió 1,6% en abril respecto a marzo y 2,5% interanual, alcanzando su nivel más alto en más de tres años impulsado principalmente por los aceites vegetales (+5,9%), la carne (+1,2%, récord histórico) y los cereales (+0,8%). El bloqueo del estrecho de Ormuz en su tercer mes ha restringido el flujo de diésel y fertilizantes, encareciendo los insumos agrícolas y elevando la demanda de biocombustibles. En Europa, los principales productores de cereales como Francia y Rumania reportaron menor siembra de maíz ante el alza de costos, lo que agrava las perspectivas de abastecimiento global. El índice mide materias primas y no precios al por menor, por lo que el impacto en los consumidores llegará con rezago.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Francisco Pérez Mackenna, ministro de Relaciones Exteriores, tras gira por Silicon Valley: “Estamos trabajando con estas compañías para crear las condiciones que permitan que el ecosistema de IA exista en Chile”</w:t>
      </w:r>
    </w:p>
    <w:p>
      <w:pPr>
        <w:spacing w:before="40" w:after="60"/>
        <w:ind w:left="283"/>
      </w:pPr>
      <w:r>
        <w:rPr>
          <w:rFonts w:ascii="Arial" w:hAnsi="Arial"/>
          <w:color w:val="404040"/>
          <w:sz w:val="21"/>
        </w:rPr>
        <w:t>El Canciller, junto a la ministra de Ciencia, se reunió con siete grandes tecnológicas en EEUU. Dijo que Chile compite con otros países para captar las “fábricas de IA” y que “es temprano” para anuncios. Era la tarde en San Francisco y al canciller Francisco Pérez Mackenna le quedaba una ventana corta antes de partir al consulado y, de ahí, viajar al traspaso de mando en Costa Rica. La gira tecnológica por Silicon Valley junto a la ministra de Ciencia, Tecnología, Conocimiento e Innovación, Ximena Lincolao, estaba terminando. En esa pausa conversó con DF para realizar un balance del viaje, en el que se reunieron con Nvidia, Google, Apple, Meta, Cisco, Salesforce, OpenAI y la Universidad de Stanford en el marco del programa Choose Chile, para atraer inversiones al país. Una de las postales que se llevó de su paso por California, fue un trayecto de 35 minutos en Waymo –los robotaxis, sin conductor, que circulan por las calles- que tomó junto a la ministra para moverse entre dos reuniones. “Los primeros cinco minutos fueron un poquito raros, incómodos. Pero a partir del minuto seis nos acostumbramos. (...) En Chile no se habla de esto. Es un ejemplo del tipo de cosas que están pasando y de las que no podemos quedarnos afuera”.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El silencioso avance del crédito informal</w:t>
      </w:r>
    </w:p>
    <w:p>
      <w:pPr>
        <w:spacing w:before="40" w:after="60"/>
        <w:ind w:left="283"/>
      </w:pPr>
      <w:r>
        <w:rPr>
          <w:rFonts w:ascii="Arial" w:hAnsi="Arial"/>
          <w:color w:val="404040"/>
          <w:sz w:val="21"/>
        </w:rPr>
        <w:t>El crédito informal en Chile opera como un mercado ilegal que mueve cerca de US$ 4.000 millones anuales, afecta a más de 600.000 personas y genera pérdidas fiscales superiores a los US$ 100 millones, según cifras de la Asociación de Retail Financiero. Más allá del préstamo 'gota a gota', ha emergido una red compleja que combina lavado de dinero, fraude financiero, ciberdelincuencia y extorsión, utilizando plataformas digitales y redes sociales para operar. La reforma a la Tasa Máxima Convencional, aunque orientada a proteger al consumidor formal, habría excluido a unas 300.000 personas del sistema, empujándolas hacia circuitos informales, lo que evidencia la necesidad de políticas que incorporen mecanismos de inclusión financiera. El editorial propone otorgar mayores facultades a la CMF y al Sernac para bloquear aplicaciones fraudulentas, fortalecer la educación financiera y generar condiciones regulatorias que permitan reincorporar a los excluidos al mercado formal.</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8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