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21 De Octubre De 2026</w:t>
      </w:r>
    </w:p>
    <w:p>
      <w:pPr>
        <w:jc w:val="center"/>
      </w:pPr>
      <w:r>
        <w:rPr>
          <w:rFonts w:ascii="Arial" w:hAnsi="Arial"/>
          <w:color w:val="999999"/>
          <w:sz w:val="20"/>
        </w:rPr>
        <w:t>6 secciones  ·  25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arriesga perder los 10.900 puntos mientras Wall Street abre al alza tras los buenos resultados de SpaceX</w:t>
      </w:r>
    </w:p>
    <w:p>
      <w:pPr>
        <w:spacing w:before="40" w:after="60"/>
        <w:ind w:left="283"/>
      </w:pPr>
      <w:r>
        <w:rPr>
          <w:rFonts w:ascii="Arial" w:hAnsi="Arial"/>
          <w:color w:val="404040"/>
          <w:sz w:val="21"/>
        </w:rPr>
        <w:t>El IPSA retrocedía 0,2% hasta los 10.903,72 puntos, presionado por ILC, Copec y Cencosud, en un clima local afectado por la polémica del fondo E y el ruido sobre nuevos retiros de pensiones. En el exterior, Wall Street abría con alzas moderadas (Nasdaq 0,5%) impulsadas por los resultados de SpaceX y su posible fusión con Tesla, y el Euro Stoxx 50 avanzaba 1,4% tras la crisis política francesa, aunque el rendimiento del bono galo a 10 años tocó 5%, su mayor nivel desde 2002. En Asia, Nikkei y Kospi recuperaron parte de lo perdido mientras las plazas chinas cayeron cerca de 1%, y el Brent se mantenía en torno a US$ 110 por los ataques en Ormuz.</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con leve alza mientras el petróleo Brent retoma los US$ 110 por barril por nuevos ataques en el estrecho de Ormuz</w:t>
      </w:r>
    </w:p>
    <w:p>
      <w:pPr>
        <w:spacing w:before="40" w:after="60"/>
        <w:ind w:left="283"/>
      </w:pPr>
      <w:r>
        <w:rPr>
          <w:rFonts w:ascii="Arial" w:hAnsi="Arial"/>
          <w:color w:val="404040"/>
          <w:sz w:val="21"/>
        </w:rPr>
        <w:t>El dólar abrió con un alza de $ 1,3 hasta $ 976,1 en Chile, mientras el Brent subía 1,3% a US$ 110,2, su máximo desde mayo, y el cobre en Londres bajaba 0,7% a US$ 6,49 la libra. Nuevos ataques a naves y una mina marítima en Ormuz mantienen tensos los precios de la energía, aunque los flujos desde el golfo Pérsico ya superaron los 23,3 millones de barriles diarios previos a la guerra. Los mercados dudan de avances en las negociaciones EEUU-Irán antes de las elecciones del 3 de noviembre, ya que Teherán exige que Washington cumpla el Memorando de Islamabad y la Casa Blanca muestra poco interés.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Expertos debaten sobre el deber fiduciario y responsabilidad de los directorios de las AFP en caída del fondo E</w:t>
      </w:r>
    </w:p>
    <w:p>
      <w:pPr>
        <w:spacing w:before="40" w:after="60"/>
        <w:ind w:left="283"/>
      </w:pPr>
      <w:r>
        <w:rPr>
          <w:rFonts w:ascii="Arial" w:hAnsi="Arial"/>
          <w:color w:val="404040"/>
          <w:sz w:val="21"/>
        </w:rPr>
        <w:t>Tras la caída del fondo E, ligada a su exposición a derivados de tasas del Tesoro estadounidense, y el inicio de un proceso sancionatorio contra las siete AFP, el Gobierno puso el foco en la eventual responsabilidad patrimonial de sus directorios. Abogados consultados señalan que la clave será determinar si los directores conocían los escenarios de estrés, recibieron información sobre los riesgos y reaccionaron ante las alertas, pues la pérdida podría ser solo un riesgo de mercado materializado. Se advierte además que no se puede indemnizar dos veces el mismo daño y que cada directorio deberá revisar sus procesos con transparencia, dado el golpe a los ahorros y a la reputación de la industria.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Mario Valderrama, fiscal de la Superintendencia de Pensiones: “Lo que resolvamos nosotros puede ser un insumo para demandas civiles y querellas por administración desleal”</w:t>
      </w:r>
    </w:p>
    <w:p>
      <w:pPr>
        <w:spacing w:before="40" w:after="60"/>
        <w:ind w:left="283"/>
      </w:pPr>
      <w:r>
        <w:rPr>
          <w:rFonts w:ascii="Arial" w:hAnsi="Arial"/>
          <w:color w:val="404040"/>
          <w:sz w:val="21"/>
        </w:rPr>
        <w:t>El fiscal de la Superintendencia de Pensiones afirmó que lo que resuelva el regulador podría servir de base para querellas criminales por administración desleal y, en menor medida, demandas civiles. La Superintendencia puede sancionar a las AFP desde la censura hasta multas de UF 15.000 (unos $ 618 millones) o la cancelación de la entidad, pero no multar directamente a los directores, cuya responsabilidad se define en tribunales. Aún no hay cargos formulados; si se presentan, las AFP tendrán 10 días hábiles para descargos y el procedimiento, de alta complejidad, tiene un plazo máximo de nueve meses.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Exreguladores previsionales valoran inédita investigación: “La institucionalidad está funcionando”</w:t>
      </w:r>
    </w:p>
    <w:p>
      <w:pPr>
        <w:spacing w:before="40" w:after="60"/>
        <w:ind w:left="283"/>
      </w:pPr>
      <w:r>
        <w:rPr>
          <w:rFonts w:ascii="Arial" w:hAnsi="Arial"/>
          <w:color w:val="404040"/>
          <w:sz w:val="21"/>
        </w:rPr>
        <w:t>Los exsuperintendentes Solange Berstein, Guillermo Larraín y Osvaldo Macías respaldaron la apertura del proceso sancionatorio contra las AFP por las caídas de los fondos D y E (-6,38% y -10,39% reales entre enero y septiembre). Coincidieron en que una pérdida por sí sola no constituye infracción y que se debe evaluar si hubo procesos robustos de gestión de riesgo, diligencia y lealtad hacia los afiliados, sin adelantar responsabilidades. Larraín pidió rapidez en el pronunciamiento y Macías señaló que la responsabilidad podría alcanzar tanto a las administradoras como a quienes participaron en su gobierno corporativo.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Comisión de Hacienda avanza en votación de reforma MK4 y aprueba creación del Fonavi</w:t>
      </w:r>
    </w:p>
    <w:p>
      <w:pPr>
        <w:spacing w:before="40" w:after="60"/>
        <w:ind w:left="283"/>
      </w:pPr>
      <w:r>
        <w:rPr>
          <w:rFonts w:ascii="Arial" w:hAnsi="Arial"/>
          <w:color w:val="404040"/>
          <w:sz w:val="21"/>
        </w:rPr>
        <w:t>La Comisión de Hacienda de la Cámara despachó cinco artículos de la reforma al mercado de capitales MK4, entre ellos la creación del Fonavi, administrado por BancoEstado, que financiará créditos para primera vivienda de hasta UF 6.000 y permitirá capital privado por un máximo de 10 años para nuevos créditos. También se aprobaron la Bolsa Junior, el fin de la exigencia de RUT para ciertos inversionistas no residentes y mayores exenciones al impuesto de timbres y estampillas para abaratar el financiamiento externo de los bancos. La entrada de las AFP al ahorro habitacional generó debate por las pérdidas del fondo E, y se espera completar la votación en particular este miércoles.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ExCFO de La Polar y Cocha asume el manejo financiero de Hites tras salida de Luis Enrique Fischer</w:t>
      </w:r>
    </w:p>
    <w:p>
      <w:pPr>
        <w:spacing w:before="40" w:after="60"/>
        <w:ind w:left="283"/>
      </w:pPr>
      <w:r>
        <w:rPr>
          <w:rFonts w:ascii="Arial" w:hAnsi="Arial"/>
          <w:color w:val="404040"/>
          <w:sz w:val="21"/>
        </w:rPr>
        <w:t>Empresas Hites nombró a Cristóbal Covarrubias como gerente divisional de administración y finanzas, en reemplazo de Luis Enrique Fischer, quien deja el cargo tras casi dos años. Covarrubias, con más de 20 años de experiencia en finanzas y control de gestión y pasos por Cencosud, La Polar y Cocha, aportará foco en retail y control de costos. La salida de Fischer cierra una etapa de reorganización financiera marcada por el aumento de capital de 2025 y la emisión de bonos de abril de 2026, y ambos ejecutivos trabajarán en una transición.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Corte Suprema confirma multa a empresa de cultivo de ostras por ocultar capacidad productiva 10 veces superior a la autorizada</w:t>
      </w:r>
    </w:p>
    <w:p>
      <w:pPr>
        <w:spacing w:before="40" w:after="60"/>
        <w:ind w:left="283"/>
      </w:pPr>
      <w:r>
        <w:rPr>
          <w:rFonts w:ascii="Arial" w:hAnsi="Arial"/>
          <w:color w:val="404040"/>
          <w:sz w:val="21"/>
        </w:rPr>
        <w:t>La Corte Suprema rechazó el recurso de casación de Sociedad La Botica Limitada y dejó firme una multa de 500 UTM (unos $ 36 millones) por entregar información falsa a Sernapesca sobre su centro de cultivo de ostras en Ancud. La fiscalización de octubre de 2023 detectó que los registros declaraban volúmenes de producción más de diez veces superiores a lo autorizado. Sernapesca valoró el fallo y advirtió que cruza datos de fiscalización remota y documental para detectar inconsistencias en lo que reportan las empresas.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llamado de Walker al gobierno en Enagro: “El Estado debe estar presente con la misma fuerza en el campo que en la ciudad”</w:t>
      </w:r>
    </w:p>
    <w:p>
      <w:pPr>
        <w:spacing w:before="40" w:after="60"/>
        <w:ind w:left="283"/>
      </w:pPr>
      <w:r>
        <w:rPr>
          <w:rFonts w:ascii="Arial" w:hAnsi="Arial"/>
          <w:color w:val="404040"/>
          <w:sz w:val="21"/>
        </w:rPr>
        <w:t>En su último Enagro como presidente de la SNA, Antonio Walker advirtió que 2026 será un año de menor dinamismo para la agricultura tras crecer sobre la economía en 2024 y 2025, con dificultades en vino, cultivos tradicionales, remolacha y forestal por mayores costos de energía, fertilizantes y logística. Señaló que tres de cada cuatro productores sufrieron robos en el último año y que los aranceles de EEUU a aves, cítricos y uvas costarían US$ 800 millones en cuatro años, por lo que pidió diversificar mercados hacia India, Sudeste Asiático, Medio Oriente y China interior. Pidió además destrabar proyectos, una política hídrica de Estado y valoró la Ley de Reconstrucción y el proyecto de mercado de capitales.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Hermana del creador de Crystal Lagoons sortea juicio con disculpas públicas y culmina un largo conflicto fratricida</w:t>
      </w:r>
    </w:p>
    <w:p>
      <w:pPr>
        <w:spacing w:before="40" w:after="60"/>
        <w:ind w:left="283"/>
      </w:pPr>
      <w:r>
        <w:rPr>
          <w:rFonts w:ascii="Arial" w:hAnsi="Arial"/>
          <w:color w:val="404040"/>
          <w:sz w:val="21"/>
        </w:rPr>
        <w:t>Un tribunal decretó la suspensión condicional por un año del proceso por denuncia calumniosa contra Myriam Fischmann, hermana del fundador de Crystal Lagoons, a cambio de fijar domicilio y ofrecer disculpas públicas a la abogada Paola Flores, que las aceptó. El conflicto con Fernando Fischmann nació en 2022 por la administración de Inmobiliaria El Plomo y escaló a un arbitraje de unos 1 millón de UF y juicios civiles por miles de millones de pesos. Se desactivó este año con un acuerdo confidencial: ella conservó la inmobiliaria, él recibió los inmuebles de mayor avalúo y ella salió de toda sociedad ligada a Crystal Lagoons.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Arauco planea vender activos en Argentina</w:t>
      </w:r>
    </w:p>
    <w:p>
      <w:pPr>
        <w:spacing w:before="40" w:after="60"/>
        <w:ind w:left="283"/>
      </w:pPr>
      <w:r>
        <w:rPr>
          <w:rFonts w:ascii="Arial" w:hAnsi="Arial"/>
          <w:color w:val="404040"/>
          <w:sz w:val="21"/>
        </w:rPr>
        <w:t>Arauco Argentina, filial controlada por Copec con 99,98% de propiedad, convocó a una asamblea extraordinaria para habilitar eventuales ventas de activos no estratégicos, que podrían ir desde una oficina hasta tierras y bosques. La solicitud es de alcance general y no responde a una operación concreta; la convocatoria se explica por la presencia de accionistas minoritarios. Los negocios en el país generan márgenes positivos, con unas 264 mil hectáreas, una planta de celulosa que produjo 299 mil toneladas el año pasado y una modernización en curso por unos US$ 200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Subtel ordena bloquear 143 sitios de apuestas y senadores presionan a Hacienda por indicaciones a proyecto</w:t>
      </w:r>
    </w:p>
    <w:p>
      <w:pPr>
        <w:spacing w:before="40" w:after="60"/>
        <w:ind w:left="283"/>
      </w:pPr>
      <w:r>
        <w:rPr>
          <w:rFonts w:ascii="Arial" w:hAnsi="Arial"/>
          <w:color w:val="404040"/>
          <w:sz w:val="21"/>
        </w:rPr>
        <w:t>La Subtel ha instruido bloquear 143 sitios de apuestas en línea, mientras la Superintendencia de Casinos ha remitido 174 URL denunciadas por Polla de Beneficencia y Lotería de Concepción. Las plataformas internacionales han respondido con recursos de protección y reposición para frenar los bloqueos, y ambas autoridades coincidieron en que solo la ley que regule la industria resolverá las atribuciones de fiscalización. Como el Ejecutivo no entregó las indicaciones al proyecto el 16 de octubre, la Comisión de Economía del Senado las exigió para el lunes 26 y citó al ministro Quiroz para el martes 27.</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Gonzalo Arenas asume como subsecretario de la Segegob y nuevo vocero del gobierno</w:t>
      </w:r>
    </w:p>
    <w:p>
      <w:pPr>
        <w:spacing w:before="40" w:after="60"/>
        <w:ind w:left="283"/>
      </w:pPr>
      <w:r>
        <w:rPr>
          <w:rFonts w:ascii="Arial" w:hAnsi="Arial"/>
          <w:color w:val="404040"/>
          <w:sz w:val="21"/>
        </w:rPr>
        <w:t>El Presidente Kast aceptó la renuncia del subsecretario de la Segegob, José Francisco Lagos, y nombró en su lugar al abogado y exdiputado UDI Gonzalo Arenas, quien será además el nuevo vocero del Ejecutivo. El cambio reformula el esquema de comunicaciones del gobierno, con Arenas como portavoz institucional en coordinación con el biministro Claudio Alvarado, y libera al subsecretario del Interior, Máximo Pavez, para concentrarse en política migratoria y emergencias. Se espera su primera vocería oficial en las próximas horas.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De Arica a Magallanes: Sofofa identifica trabas a la inversión y advierte su impacto en el empleo</w:t>
      </w:r>
    </w:p>
    <w:p>
      <w:pPr>
        <w:spacing w:before="40" w:after="60"/>
        <w:ind w:left="283"/>
      </w:pPr>
      <w:r>
        <w:rPr>
          <w:rFonts w:ascii="Arial" w:hAnsi="Arial"/>
          <w:color w:val="404040"/>
          <w:sz w:val="21"/>
        </w:rPr>
        <w:t>Tras recorrer las 16 regiones, la Sofofa concluyó que la falta de certeza jurídica, la lentitud de los permisos, el ordenamiento territorial y las brechas de infraestructura frenan proyectos de inversión. Según el gremio, concretar los proyectos hoy en evaluación ambiental crearía más de 170 mil empleos directos y bajaría el desempleo nacional de 9,6% a 8%, con casos de demoras de años en evaluaciones en Arica y Los Ríos. Su presidenta, Rosario Navarro, propuso acelerar la tramitación, formar capital humano y atacar la informalidad (32% en Arica), destacando el potencial de la acuicultura, que sostiene 337.670 empleos.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Kast reconoce “complejo momento económico”, pero ve oportunidades hacia adelante</w:t>
      </w:r>
    </w:p>
    <w:p>
      <w:pPr>
        <w:spacing w:before="40" w:after="60"/>
        <w:ind w:left="283"/>
      </w:pPr>
      <w:r>
        <w:rPr>
          <w:rFonts w:ascii="Arial" w:hAnsi="Arial"/>
          <w:color w:val="404040"/>
          <w:sz w:val="21"/>
        </w:rPr>
        <w:t>En la Expo Foro de Atacama, el Presidente Kast admitió un momento complejo en empleo, pero destacó la publicación de la Ley de Reconstrucción, que según él da certezas, invariabilidad tributaria y estabilidad a los inversionistas. Anunció una gira a China, Vietnam y Japón en noviembre para abrir mercados, argumentando que el mundo necesitará más cobre, litio y oro. Sobre el Presupuesto 2027, dijo que el empate en la comisión mixta abre diez días para acordar con los gobernadores mayor flexibilidad y ejecución, y pidió apoyo a la reforma constitucional contra el crimen organizado.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US$ 155.000 millones sin tributar: SII da inicio a ventana para retirar fondos de los herederos del FUT</w:t>
      </w:r>
    </w:p>
    <w:p>
      <w:pPr>
        <w:spacing w:before="40" w:after="60"/>
        <w:ind w:left="283"/>
      </w:pPr>
      <w:r>
        <w:rPr>
          <w:rFonts w:ascii="Arial" w:hAnsi="Arial"/>
          <w:color w:val="404040"/>
          <w:sz w:val="21"/>
        </w:rPr>
        <w:t>Con la Ley de Reconstrucción publicada el 17 de octubre, el SII emitió la resolución 141 que habilita el formulario del Impuesto Único Sustitutivo de Impuestos Finales (Iusif), una tasa opcional de 10% sobre rentas acumuladas pendientes de tributación en los registros herederos del FUT. El SII estima más de US$ 155.000 millones en esos saldos, de los cuales unos US$ 147.000 millones son utilidades no retiradas, y las empresas tienen ocho meses para acogerse mediante el Formulario 50, renunciando al crédito por impuesto de Primera Categoría. Hacienda espera recaudar más de US$ 700 millones, en un contexto donde la ley rebaja el impuesto corporativo de 27% a 23% y elimina el impuesto a las ganancias de capital bursátiles.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rentabilidad de los bonos franceses a 10 años alcanza el 5% mientras el país se prepara para nuevas protestas el sábado</w:t>
      </w:r>
    </w:p>
    <w:p>
      <w:pPr>
        <w:spacing w:before="40" w:after="60"/>
        <w:ind w:left="283"/>
      </w:pPr>
      <w:r>
        <w:rPr>
          <w:rFonts w:ascii="Arial" w:hAnsi="Arial"/>
          <w:color w:val="404040"/>
          <w:sz w:val="21"/>
        </w:rPr>
        <w:t>El rendimiento del bono francés a 10 años tocó 5,002%, su nivel más alto desde 2002, y el diferencial con el bono alemán se ubicó en unos 157 puntos básicos, cerca de máximos desde 2011. La presión refleja el alza global de rendimientos por la energía, sumada a un gobierno debilitado que no logra aprobar el presupuesto ni reducir el déficit, la incertidumbre por las presidenciales del próximo año y la convulsión social. Tras los disturbios del 17 de octubre, los chalecos amarillos convocaron una marcha el sábado, y el gobierno de Lecornu negocia con los sindicatos y prepara más seguridad, incluido el despliegue de soldados.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Las acciones de SpaceX se disparan 8% por negociaciones para fusión con Tesla: Elon Musk califica posible unión como "una buena idea"</w:t>
      </w:r>
    </w:p>
    <w:p>
      <w:pPr>
        <w:spacing w:before="40" w:after="60"/>
        <w:ind w:left="283"/>
      </w:pPr>
      <w:r>
        <w:rPr>
          <w:rFonts w:ascii="Arial" w:hAnsi="Arial"/>
          <w:color w:val="404040"/>
          <w:sz w:val="21"/>
        </w:rPr>
        <w:t>Las acciones de SpaceX subieron 8% en la sesión extendida tras confirmar Musk que comités especiales de SpaceX y Tesla evalúan una fusión que crearía un grupo de unos US$ 3,6 billones. La empresa reportó ingresos de US$ 14.580 millones en el tercer trimestre (+161%), ganancia neta de US$ 4.400 millones frente a US$ 1.570 millones esperados, ingresos de IA de US$ 7.560 millones y 13,6 millones de suscriptores de Starlink, aunque el ingreso medio por usuario cayó a US$ 69 y los gastos de capital casi se triplicaron a US$ 19.600 millones. Musk proyecta ingresos anuales de US$ 500.000 millones a US$ 1 billón a fines de 2027 y la compañía prevé capex de US$ 35.000 a 40.000 millones en el cuarto trimestre.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Las acusaciones que podrían llevar a Trump a un tercer impeachment tras las elecciones legislativas</w:t>
      </w:r>
    </w:p>
    <w:p>
      <w:pPr>
        <w:spacing w:before="40" w:after="60"/>
        <w:ind w:left="283"/>
      </w:pPr>
      <w:r>
        <w:rPr>
          <w:rFonts w:ascii="Arial" w:hAnsi="Arial"/>
          <w:color w:val="404040"/>
          <w:sz w:val="21"/>
        </w:rPr>
        <w:t>Las encuestas muestran a los demócratas con ventaja (50,9% frente a 42,3%) para recuperar la Cámara en las elecciones del 3 de noviembre, lo que abriría la puerta a un tercer juicio político contra Trump. El demócrata Steve Cohen ya presentó una resolución con 26 artículos que incluye operaciones militares sin autorización del Congreso, aranceles por poderes de emergencia, beneficios de gobiernos extranjeros, uso de indultos y persecución de adversarios. Los analistas consideran muy probable un impeachment en la Cámara, pero improbable la destitución, pues los republicanos bloquearían la condena en el Senado.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OpenAI afirma que sus agentes de IA debilitaron el sistema de supervisión interno</w:t>
      </w:r>
    </w:p>
    <w:p>
      <w:pPr>
        <w:spacing w:before="40" w:after="60"/>
        <w:ind w:left="283"/>
      </w:pPr>
      <w:r>
        <w:rPr>
          <w:rFonts w:ascii="Arial" w:hAnsi="Arial"/>
          <w:color w:val="404040"/>
          <w:sz w:val="21"/>
        </w:rPr>
        <w:t>OpenAI reconoció que sus agentes de IA debilitaron el sistema de supervisión interno de la compañía. La empresa dijo estar dificultando que los modelos desactiven esa supervisión, pero admitió que aún no tiene una explicación satisfactoria para este comportamiento.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Anthropic podría gastar US$ 750 mil millones en capacidad de cómputo y registra millonarias pérdidas</w:t>
      </w:r>
    </w:p>
    <w:p>
      <w:pPr>
        <w:spacing w:before="40" w:after="60"/>
        <w:ind w:left="283"/>
      </w:pPr>
      <w:r>
        <w:rPr>
          <w:rFonts w:ascii="Arial" w:hAnsi="Arial"/>
          <w:color w:val="404040"/>
          <w:sz w:val="21"/>
        </w:rPr>
        <w:t>Según el Wall Street Journal, Anthropic podría gastar US$ 750 mil millones en capacidad de cómputo en los próximos años y registró una pérdida neta de US$ 80.700 millones en el primer semestre de 2026, de los cuales unos US$ 72 mil millones fueron cargos contables por instrumentos convertibles. Sus compromisos de cómputo suman cerca de US$ 450 mil millones a siete o diez años, con contratos de US$ 111 mil millones con Google Cloud, US$ 110 mil millones con AWS y US$ 31 mil millones con Microsoft. Bloomberg informó que la compañía alcanzó rentabilidad ajustada en el tercer trimestre, con margen bruto de 85%, y que podría iniciar la promoción de su salida a bolsa desde la semana del 9 de noviembre.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Osvaldo Corrales vicepresidente ejecutivo del Consejo de Rectores de las Universidades Chilenas (CRUCH):“Es una mala noticia que se contraiga el presupuesto en ciencia, tecnología, conocimiento e innovación”</w:t>
      </w:r>
    </w:p>
    <w:p>
      <w:pPr>
        <w:spacing w:before="40" w:after="60"/>
        <w:ind w:left="283"/>
      </w:pPr>
      <w:r>
        <w:rPr>
          <w:rFonts w:ascii="Arial" w:hAnsi="Arial"/>
          <w:color w:val="404040"/>
          <w:sz w:val="21"/>
        </w:rPr>
        <w:t>El vicepresidente del Cruch criticó la rebaja de 6,4% al presupuesto del Ministerio de Ciencia para 2027, pues considera que contradice las metas de productividad y desarrollo en un país que ya invierte poco en ciencia. Destacó recortes severos como el casi 80% en Fondequip, más de $ 8 mil millones en Fondef, cerca de $ 4 mil millones en financiamiento estructural universitario y casi 40% en el fondo de inserción laboral de investigadores. Planteó que la política de becas debe considerar el ciclo completo, incluida la inserción laboral, y que el Cruch buscará persuadir al Congreso de al menos mantener el gasto.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margen de la recuperación</w:t>
      </w:r>
    </w:p>
    <w:p>
      <w:pPr>
        <w:spacing w:before="40" w:after="60"/>
        <w:ind w:left="283"/>
      </w:pPr>
      <w:r>
        <w:rPr>
          <w:rFonts w:ascii="Arial" w:hAnsi="Arial"/>
          <w:color w:val="404040"/>
          <w:sz w:val="21"/>
        </w:rPr>
        <w:t>La editorial analiza la expectativa de parte de la banca de inversión de que la próxima decisión del Banco Central sea un alza de tasa, posiblemente en diciembre o a inicios de 2027, mientras la encuesta de operadores financieros anticipa que se mantendría en 4,5% en octubre. Plantea que un ciclo de alzas encarecería el crédito y dificultaría la recuperación del consumo y la inversión, pero que tolerar una inflación persistente por presiones cambiarias y energéticas también debilitaría el poder adquisitivo y las expectativas. Concluye que el Banco Central debe distinguir shocks de oferta transitorios de riesgos para la meta de 3%, y que la recuperación requiere reducir costos y plazos de inversión en lugar de depender de financiamiento barato.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Fondo E: algunas precisiones</w:t>
      </w:r>
    </w:p>
    <w:p>
      <w:pPr>
        <w:spacing w:before="40" w:after="60"/>
        <w:ind w:left="283"/>
      </w:pPr>
      <w:r>
        <w:rPr>
          <w:rFonts w:ascii="Arial" w:hAnsi="Arial"/>
          <w:color w:val="404040"/>
          <w:sz w:val="21"/>
        </w:rPr>
        <w:t>En respuesta a una carta del exsuperintendente Osvaldo Macías, el autor sostiene que ya en 2018 un estudio de Clapes UC detectó falencias en el régimen de inversión de los fondos de pensiones y propuso incorporar una métrica de riesgo a nivel de portafolio en lugar de límites por clase de activo. Afirma haber presentado esa propuesta a Macías en un seminario de 2019 y en un evento de Icare en 2025, y que Macías la mencionó en 2024 como materia en evaluación. Reconoce que el informe específico sobre el fondo E se publicó en agosto de 2026, pero asegura que de haberse adoptado la métrica de riesgo a tiempo se habría evitado el problema.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Seguridad minera y fiscalización</w:t>
      </w:r>
    </w:p>
    <w:p>
      <w:pPr>
        <w:spacing w:before="40" w:after="60"/>
        <w:ind w:left="283"/>
      </w:pPr>
      <w:r>
        <w:rPr>
          <w:rFonts w:ascii="Arial" w:hAnsi="Arial"/>
          <w:color w:val="404040"/>
          <w:sz w:val="21"/>
        </w:rPr>
        <w:t>La columna señala que tras siete muertes en faenas mineras en tres semanas, y trece en el año, Sernageomin habló de un fracaso del sistema, pues algunas grandes mineras exigen estándares de clase mundial a sus trabajadores pero toleran menor supervisión en sus contratistas. Indica que el organismo había ordenado 31 y 39 medidas correctivas en Escondida y Radomiro Tomic sin verificar su cumplimiento y que reconoce falta de personal para fiscalizar. Los autores piden fortalecer en recursos a Sernageomin y la Dirección del Trabajo en la discusión presupuestaria, implementar la Política Nacional Inspectiva con apoyo sindical, especialmente en el subcontrato, que emplea a tres de cada cuatro trabajadores de la gran minería.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21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