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6 De Julio De 2026</w:t>
      </w:r>
    </w:p>
    <w:p>
      <w:pPr>
        <w:jc w:val="center"/>
      </w:pPr>
      <w:r>
        <w:rPr>
          <w:rFonts w:ascii="Arial" w:hAnsi="Arial"/>
          <w:color w:val="999999"/>
          <w:sz w:val="20"/>
        </w:rPr>
        <w:t>6 secciones  ·  28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Extranjeros apuestan US$ 15 mil millones contra el peso chileno tras postura restrictiva de la Fed y contracción de la economía local</w:t>
      </w:r>
    </w:p>
    <w:p>
      <w:pPr>
        <w:spacing w:before="40" w:after="60"/>
        <w:ind w:left="283"/>
      </w:pPr>
      <w:r>
        <w:rPr>
          <w:rFonts w:ascii="Arial" w:hAnsi="Arial"/>
          <w:color w:val="404040"/>
          <w:sz w:val="21"/>
        </w:rPr>
        <w:t>Inversionistas extranjeros han acumulado una posición neta de US$ 15 mil millones en contratos a plazo (forwards) dólar-peso, nivel no visto desde el cuarto trimestre de 2020, tras siete sesiones consecutivas de compras que sumaron US$ 4.500 millones adicionales. El peso chileno es la divisa que más se ha debilitado en Latinoamérica desde mediados de junio, cuando la postura restrictiva de la Fed bajo Kevin Warsh impulsó el tipo de cambio sobre los $920. El contexto interno agrava la presión: Chile acumula cinco meses consecutivos de contracción económica y una tasa de desempleo en máximos de cinco años, lo que alimenta el debate sobre una recesión técnica y fomenta las apuestas a favor de una baja de tasas por parte del Banco Central.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al alza en línea con Wall Street previo a un indicador clave de servicios estadounidense</w:t>
      </w:r>
    </w:p>
    <w:p>
      <w:pPr>
        <w:spacing w:before="40" w:after="60"/>
        <w:ind w:left="283"/>
      </w:pPr>
      <w:r>
        <w:rPr>
          <w:rFonts w:ascii="Arial" w:hAnsi="Arial"/>
          <w:color w:val="404040"/>
          <w:sz w:val="21"/>
        </w:rPr>
        <w:t>La Bolsa de Santiago arrancó la semana con un avance del S&amp;P IPSA de 0,6% hasta 10.883 puntos, impulsada por Latam (+1,4%), Cencosud (+1%) y Banco de Chile (+0,9%), en línea con ganancias en Wall Street de hasta 0,8% en el Nasdaq. El mercado esperaba la publicación del índice ISM de servicios de junio en Estados Unidos, sector que representa cerca del 75% de la economía estadounidense, con expectativa de caída marginal pero manteniendo dos años consecutivos en zona de expansión. El dato llega tras un reporte de empleo débil, con nóminas no agrícolas de junio que resultaron la mitad de lo pronosticado y una caída en la tasa de participación laboral.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leve alza mientras la divisa se aprecia globalmente antes del índice ISM de servicios en EEUU</w:t>
      </w:r>
    </w:p>
    <w:p>
      <w:pPr>
        <w:spacing w:before="40" w:after="60"/>
        <w:ind w:left="283"/>
      </w:pPr>
      <w:r>
        <w:rPr>
          <w:rFonts w:ascii="Arial" w:hAnsi="Arial"/>
          <w:color w:val="404040"/>
          <w:sz w:val="21"/>
        </w:rPr>
        <w:t>El tipo de cambio dólar-peso inició la semana con un alza de $1,7 hasta los $923,2, en un contexto de fortaleza global del dólar —el dollar index subía 0,2% a 101,1 puntos— y debilidad estructural del peso chileno. El cobre cedía 0,2% a US$6,06 la libra en Londres, mientras los rendimientos del Tesoro a dos años retrocedían levemente al regresar de su fin de semana largo por el feriado de independencia estadounidense. La posición neta de no residentes en forwards dólar-peso alcanzó US$15 mil millones, concentrada en plazos de 96 a 370 días, lo que refleja apuestas de mediano y largo plazo contra la moneda local en medio de la contracción económica chilena.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Caso Factop: las gestiones de la defensa de Antonio Jalaff para un posible juicio abreviado</w:t>
      </w:r>
    </w:p>
    <w:p>
      <w:pPr>
        <w:spacing w:before="40" w:after="60"/>
        <w:ind w:left="283"/>
      </w:pPr>
      <w:r>
        <w:rPr>
          <w:rFonts w:ascii="Arial" w:hAnsi="Arial"/>
          <w:color w:val="404040"/>
          <w:sz w:val="21"/>
        </w:rPr>
        <w:t>La defensa de Antonio Jalaff, imputado en el caso Factop por estafa, lavado de activos y uso malicioso de instrumentos privados falsos, avanza en acuerdos reparatorios con querellantes como vía para alcanzar un juicio abreviado, habiendo logrado ya desistimientos y pagos parciales con algunas partes. Entre los acuerdos concretados destaca el cierre de la disputa con Grupo Patio, donde ambas partes desistieron de querellas cruzadas y Antonio Jalaff reconoció notarialmente que la venta de su participación fue voluntaria y a precio de mercado. En paralelo, su hermano Álvaro Jalaff habría alcanzado un acuerdo por colaboración eficaz, mientras la Fiscalía buscaría despejar la arista de ambos hermanos para concentrar recursos en el juicio oral de Hermosilla, Villalobos y Sauer.</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Los equipos de las AGF encargadas de gestionar las carteras de inversión del Fondo Autónomo de Protección Previsional</w:t>
      </w:r>
    </w:p>
    <w:p>
      <w:pPr>
        <w:spacing w:before="40" w:after="60"/>
        <w:ind w:left="283"/>
      </w:pPr>
      <w:r>
        <w:rPr>
          <w:rFonts w:ascii="Arial" w:hAnsi="Arial"/>
          <w:color w:val="404040"/>
          <w:sz w:val="21"/>
        </w:rPr>
        <w:t>El Fondo Autónomo de Protección Previsional (FAPP) adjudicó sus dos mandatos de inversión a Bci Asset Management —cartera de renta fija de corto plazo— y Santander Asset Management —cartera de renta fija de largo plazo—, tras un proceso en que compitieron siete administradoras. Los recursos fueron traspasados el 3 de julio desde la Tesorería General de la República a ambas gestoras. Bci designó un equipo liderado por la gerenta general Claudia Torres y el gerente comercial Roberto de la Carrera, mientras Santander encargó la gestión al head de renta fija Juan Camilo Guzmán y a la portfolio manager senior Fabiola Berly, apoyándose en su plataforma de inversiones integrada.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Informe solicitado por Fontaine desmenuza la era Pacheco en Codelco: Deuda creció más que los aportes al Fisco</w:t>
      </w:r>
    </w:p>
    <w:p>
      <w:pPr>
        <w:spacing w:before="40" w:after="60"/>
        <w:ind w:left="283"/>
      </w:pPr>
      <w:r>
        <w:rPr>
          <w:rFonts w:ascii="Arial" w:hAnsi="Arial"/>
          <w:color w:val="404040"/>
          <w:sz w:val="21"/>
        </w:rPr>
        <w:t>Un informe de flujos de caja encargado por el nuevo directorio de Codelco revela que entre 2022 y 2025 la estatal se endeudó en US$ 8.734 millones, cifra superior a los US$ 7.039 millones aportados al Estado en el mismo período, lo que equivale a financiar los aportes al Fisco con deuda. Pese a que el precio promedio del cobre fue 30% superior al período anterior —pasando de US$ 3,18 a US$ 4,13 la libra—, el flujo de caja operacional cayó más de US$ 4.000 millones, porque la producción bajó 16%, los gastos subieron 42% y las inversiones no compensaron. La deuda bruta cerró 2025 en US$ 26.328 millones, un alza de 50% respecto a 2021, con utilidades acumuladas de apenas US$ 626 millones en cuatro años y un ejercicio con pérdidas en 2023.</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cargos más codiciados del sector eléctrico: definición del timonel de CNE en la recta final y se desata carrera por el Coordinador</w:t>
      </w:r>
    </w:p>
    <w:p>
      <w:pPr>
        <w:spacing w:before="40" w:after="60"/>
        <w:ind w:left="283"/>
      </w:pPr>
      <w:r>
        <w:rPr>
          <w:rFonts w:ascii="Arial" w:hAnsi="Arial"/>
          <w:color w:val="404040"/>
          <w:sz w:val="21"/>
        </w:rPr>
        <w:t>El proceso para elegir al nuevo secretario ejecutivo de la Comisión Nacional de Energía (CNE) entra en su fase final: el Consejo de ADP entrevistó a siete candidatos y se espera la definición de una terna esta semana, con Carlos Barría y Eduardo Andrade como nombres en la lista corta. En paralelo, el Comité Especial de Nominaciones llamó a concurso el 28 de junio para cubrir tres cupos del Coordinador Eléctrico Nacional —incluida su presidencia—, cargo que recibe remuneraciones que superan los $22 millones mensuales. Las postulaciones al Coordinador cierran el 13 de julio, con publicación de resultados proyectada para el 15 de septiembre, en un proceso que la industria considera clave dado el rol del organismo en la operación del sistema eléctrico.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giro del pavo al pollo: Sopraval alista inversión de US$ 84 millones para reconvertir su planta de La Ligua</w:t>
      </w:r>
    </w:p>
    <w:p>
      <w:pPr>
        <w:spacing w:before="40" w:after="60"/>
        <w:ind w:left="283"/>
      </w:pPr>
      <w:r>
        <w:rPr>
          <w:rFonts w:ascii="Arial" w:hAnsi="Arial"/>
          <w:color w:val="404040"/>
          <w:sz w:val="21"/>
        </w:rPr>
        <w:t>Sopraval, filial de Agrosuper, ingresó una consulta de pertinencia al Servicio de Evaluación Ambiental para modernizar su planta Talanquén en La Ligua (Región de Valparaíso), en el marco de una inversión de US$ 84 millones destinada a reconvertir la producción de alimento para pavos hacia alimento para aves en general, principalmente pollo. La decisión responde al plan estratégico anunciado en octubre de 2024, cuando Agrosuper decidió priorizar pollo y cerdo ante la menor rentabilidad y la tendencia mundial a la baja en el consumo de pavo. El proyecto mantiene la capacidad productiva de 100 toneladas por hora e incorpora silos de granos, bodega mecanizada, generador y otras mejoras de infraestructura.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13 aviones nuevos y 28 más por recibir: así va el plan de renovación de flota de Latam 2026</w:t>
      </w:r>
    </w:p>
    <w:p>
      <w:pPr>
        <w:spacing w:before="40" w:after="60"/>
        <w:ind w:left="283"/>
      </w:pPr>
      <w:r>
        <w:rPr>
          <w:rFonts w:ascii="Arial" w:hAnsi="Arial"/>
          <w:color w:val="404040"/>
          <w:sz w:val="21"/>
        </w:rPr>
        <w:t>Latam Airlines incorporó 13 nuevas aeronaves en el primer semestre de 2026, incluyendo siete Airbus A320neo, cuatro A321neo y dos Boeing 787-9 Dreamliner, y planea sumar 28 aviones adicionales en el segundo semestre para alcanzar un total de 40 incorporaciones en el año. Con esto, la flota de Latam llegaría a 410 aeronaves, consolidándola como una de las mayores flotas comerciales del mundo, con el objetivo de incorporar 130 naves más al cierre de 2030. Para 2050, la aerolínea proyecta que el 50% de su flota sea de última generación, lo que permitiría reducir entre un 20% y 25% las emisiones de CO2.</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Se “autodenunció”: Electrolux retira cuatro modelos de estufas a gas del mercado chileno</w:t>
      </w:r>
    </w:p>
    <w:p>
      <w:pPr>
        <w:spacing w:before="40" w:after="60"/>
        <w:ind w:left="283"/>
      </w:pPr>
      <w:r>
        <w:rPr>
          <w:rFonts w:ascii="Arial" w:hAnsi="Arial"/>
          <w:color w:val="404040"/>
          <w:sz w:val="21"/>
        </w:rPr>
        <w:t>Una de las mayores fabricantes y comercializadoras de electrodomésticos del mundo, la sueca Electrolux, se “autodenunció” ante el Sernac y el 10 de junio pasado dejó de comercializar cuatro modelos de estufas a gas marca Mademsa por problemas técnicos, situación que derivó en una alerta de la Superintendencia de Electricidad y Combustible (SEC). En concreto, según informó el Diario Oficial, la falla podría provocar fugas y deflagraciones. La empresa detalló que “la potencial anomalía se presenta en el regulador del gas”, accesorio que conecta la estufa con el cilindro de gas licuado. En casos puntuales, se podría presentar una desalineación que debilita el cierre del regulador y reduce su capacidad para soportar la presión del gas en condiciones normales de uso, se dice en el Diario Oficial.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Francesa Alstom quiere entrar al negocio del Metro al Aeropuerto y saca a relucir su experiencia en Canadá y Panamá</w:t>
      </w:r>
    </w:p>
    <w:p>
      <w:pPr>
        <w:spacing w:before="40" w:after="60"/>
        <w:ind w:left="283"/>
      </w:pPr>
      <w:r>
        <w:rPr>
          <w:rFonts w:ascii="Arial" w:hAnsi="Arial"/>
          <w:color w:val="404040"/>
          <w:sz w:val="21"/>
        </w:rPr>
        <w:t>Alstom, proveedora histórica de trenes para Metro y EFE en Chile con siete décadas de presencia local, expresó su interés en participar en la futura conexión ferroviaria entre Santiago y el Aeropuerto, cualquiera sea el modelo de concesión que defina el gobierno. El proyecto contemplado —denominado Línea A— uniría la futura estación Huelén de la Línea 7 con el aeropuerto mediante un tren ligero mixto de superficie y subterráneo de 6,5 km, con una inversión estimada de US$ 365 millones y operación prevista para 2032. La empresa destacó su experiencia en proyectos similares: el REM de Montreal (Canadá) y el ramal aeroportuario del Metro de Panamá.</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La disputa por 9.470 hectáreas en Atacama que enfrenta hace 15 años a la familia Prokurica y a CMP</w:t>
      </w:r>
    </w:p>
    <w:p>
      <w:pPr>
        <w:spacing w:before="40" w:after="60"/>
        <w:ind w:left="283"/>
      </w:pPr>
      <w:r>
        <w:rPr>
          <w:rFonts w:ascii="Arial" w:hAnsi="Arial"/>
          <w:color w:val="404040"/>
          <w:sz w:val="21"/>
        </w:rPr>
        <w:t>La Sociedad Agrícola Konavle (SAK) de la familia Prokurica y Compañía Minera del Pacífico (CMP, filial de CAP) mantienen desde 2011 un litigio por 9.470 hectáreas en la Región de Atacama donde se emplaza la Faena Minera Algarrobo, propiedad que ambas partes reclaman con títulos que se remontan al siglo XIX. El 12 de junio, un perito designado por el tribunal presentó su informe técnico —basado en más de 150 años de documentos, cartografía y levantamientos topográficos— y concluyó que los títulos de CMP utilizan referencias geográficas "vagas y ambiguas", mientras los de SAK establecen deslindes más precisos. En paralelo, SAK impugnó ante el Tribunal Ambiental la resolución favorable obtenida por CMP para su proyecto de US$ 17,2 millones en el área en disputa, causa que se encuentra en etapa de sentencia.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Grandes concesionarias ponen sus fichas en la relicitación de Autopista Los Libertadores mientras el MOP retrasa recepción de ofertas</w:t>
      </w:r>
    </w:p>
    <w:p>
      <w:pPr>
        <w:spacing w:before="40" w:after="60"/>
        <w:ind w:left="283"/>
      </w:pPr>
      <w:r>
        <w:rPr>
          <w:rFonts w:ascii="Arial" w:hAnsi="Arial"/>
          <w:color w:val="404040"/>
          <w:sz w:val="21"/>
        </w:rPr>
        <w:t>La relicitación de la Ruta 57 Santiago-Los Andes (Autopista Los Libertadores), con una inversión estimada de US$ 946 millones, concentra el mayor interés del mercado concesionario: 14 empresas han adquirido las bases, incluyendo a Sacyr, Costanera, Acciona, ISA Vías, VíasChile, Aleatica, CRBC y CHEC, además de nuevos actores como la austriaca Strabag y la española Cintra. El actual operador, VíasChile (filial de Abertis), ha definido retener esta concesión como prioridad estratégica, dado que de perderla reduciría su portafolio chileno a tres autopistas. Sin embargo, tres fuentes de la industria indicaron a DF que las fechas de recepción de ofertas (21 de julio) y apertura económica (18 de agosto) se postergarían al menos un mes por retrasos administrativos del MOP.</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proyecto misceláneo entra a tierra derecha en el Senado</w:t>
      </w:r>
    </w:p>
    <w:p>
      <w:pPr>
        <w:spacing w:before="40" w:after="60"/>
        <w:ind w:left="283"/>
      </w:pPr>
      <w:r>
        <w:rPr>
          <w:rFonts w:ascii="Arial" w:hAnsi="Arial"/>
          <w:color w:val="404040"/>
          <w:sz w:val="21"/>
        </w:rPr>
        <w:t>El proyecto misceláneo del gobierno avanza en el Senado con sesiones de doble jornada esta semana en la Comisión de Medio Ambiente, aunque persisten diferencias con la oposición y no se vislumbra un acuerdo amplio, salvo con sectores del Socialismo Democrático. En paralelo, el Senado votará en Sala el proyecto que autoriza un mayor endeudamiento del gobierno central durante 2026, que de aprobarse quedaría despachado como ley. Otras iniciativas en tramitación incluyen el proyecto de sala cuna en la Comisión de Educación, la prórroga de regularización de derechos de aprovechamiento de aguas, la estabilización de tarifas eléctricas en la Cámara y el proyecto sobre propiedad intelectual.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Hogares chilenos registraron una menor deuda y un aumento en sus ingresos durante el primer trimestre</w:t>
      </w:r>
    </w:p>
    <w:p>
      <w:pPr>
        <w:spacing w:before="40" w:after="60"/>
        <w:ind w:left="283"/>
      </w:pPr>
      <w:r>
        <w:rPr>
          <w:rFonts w:ascii="Arial" w:hAnsi="Arial"/>
          <w:color w:val="404040"/>
          <w:sz w:val="21"/>
        </w:rPr>
        <w:t>La deuda total de los hogares chilenos alcanzó el 45,9% del PIB en el primer trimestre de 2026, una baja de 0,3 puntos porcentuales respecto al trimestre anterior, según el informe de Cuentas Nacionales por sector institucional del Banco Central. El ingreso disponible bruto de los hogares creció 7,8% anual, impulsado principalmente por salarios e ingresos de independientes (+5% anual), lo que elevó la tasa de ahorro de los hogares a 5,6% del PIB. La tasa de ahorro agregada de la economía chilena llegó al 23,1% del PIB, mientras que la deuda del gobierno general subió a 41,1% del PIB y las empresas no financieras registraron una deuda de 90,3% del PIB, afectadas por la depreciación del peso.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Las expectativas de inflación a dos años de las empresas sube a 3,5%</w:t>
      </w:r>
    </w:p>
    <w:p>
      <w:pPr>
        <w:spacing w:before="40" w:after="60"/>
        <w:ind w:left="283"/>
      </w:pPr>
      <w:r>
        <w:rPr>
          <w:rFonts w:ascii="Arial" w:hAnsi="Arial"/>
          <w:color w:val="404040"/>
          <w:sz w:val="21"/>
        </w:rPr>
        <w:t>La Encuesta de Determinantes y Expectativas de Precios (EDEP) del Banco Central del trimestre marzo-mayo muestra que las empresas mantienen sus expectativas de inflación a 12 meses en 4%, mientras que las proyecciones a 24 meses subieron de 3,3% a 3,5%, ambas cifras previas al acuerdo de tregua en el conflicto de Medio Oriente. Las empresas reportan una mayor percepción de alzas en costos —influidos por tipo de cambio y disponibilidad de insumos— junto con precios de venta que suben levemente, mientras los niveles de venta se reducen y los márgenes de ganancia continúan cayendo. Hacia adelante, aumenta el porcentaje de empresas que espera incrementar costos y precios en los próximos 12 meses.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Cadem: desaprobación a Kast sube a 60% y una amplia mayoría piensa que la economía está estancada o retrocediendo</w:t>
      </w:r>
    </w:p>
    <w:p>
      <w:pPr>
        <w:spacing w:before="40" w:after="60"/>
        <w:ind w:left="283"/>
      </w:pPr>
      <w:r>
        <w:rPr>
          <w:rFonts w:ascii="Arial" w:hAnsi="Arial"/>
          <w:color w:val="404040"/>
          <w:sz w:val="21"/>
        </w:rPr>
        <w:t>La última encuesta Cadem registró una desaprobación del presidente Kast de 60% (+2 puntos), su peor marca desde que asumió, con solo 37% de aprobación, en un contexto de cinco meses consecutivos de contracción económica y desempleo en máximos. El 84% de los encuestados percibe la economía como estancada o en retroceso, el 88% califica la situación del empleo como mala o muy mala, y el 61% cree que Chile va por mal camino. Los atributos de gestión económica del mandatario también cayeron significativamente: la percepción de que tiene capacidad para hacer crecer la economía bajó de 53% a 42% respecto a abril.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Paula Estévez, subsecretaria de Relaciones Económicas Internacionales: “Paraguay bajó los impuestos y crece al 6%. Ese es el desafío de Chile para ser competitivos”</w:t>
      </w:r>
    </w:p>
    <w:p>
      <w:pPr>
        <w:spacing w:before="40" w:after="60"/>
        <w:ind w:left="283"/>
      </w:pPr>
      <w:r>
        <w:rPr>
          <w:rFonts w:ascii="Arial" w:hAnsi="Arial"/>
          <w:color w:val="404040"/>
          <w:sz w:val="21"/>
        </w:rPr>
        <w:t>La autoridad destaca que el Corredor Bioceánico está programado para entrar en operaciones en 2027, lo que posicionará a Chile como la puerta de salida de productos regionales a Asia y Europa por el Atlántico. Días intensos marcaron la agenda de la subsecretaria de Relaciones Económicas Internacionales (Subrei), Paula Estévez, como integrante de la comitiva oficial en la gira que realizó la semana pasada el Presidente José Antonio Kast a la cumbre del Mercosur y luego en visitas oficiales a Paraguay y Uruguay. La autoridad participó en encuentros con representantes del sector privado de esos países y constató el potencial que va a representar para Chile y los emprendedores nacionales la entrada en operaciones del Corredor Bioceánico, a partir de 2027.</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¿Pasó lo peor? Los almaceneros reportan una normalización en precios y consumo tras el alza de las bencinas</w:t>
      </w:r>
    </w:p>
    <w:p>
      <w:pPr>
        <w:spacing w:before="40" w:after="60"/>
        <w:ind w:left="283"/>
      </w:pPr>
      <w:r>
        <w:rPr>
          <w:rFonts w:ascii="Arial" w:hAnsi="Arial"/>
          <w:color w:val="404040"/>
          <w:sz w:val="21"/>
        </w:rPr>
        <w:t>Un estudio de Almacenes Digitales Analytics (ADA) a 759 almaceneros muestra que, a tres meses del alza histórica de bencinas del 26 de marzo, los precios se estabilizaron: quienes reportan alzas superiores al 10% en sus costos bajaron del 28,9% al 23,5%, y el impacto en demanda descendió de 73,4% a 60,1% de los locales entre abril y junio. Las estrategias de absorción de costos —compras en mayoristas, sobrestockeo y contención de precios al consumidor— permitieron que la demanda no se viera gravemente afectada pese a la presión inflacionaria. La intención de traspasar precios también cayó drásticamente, de 77% en abril a 49% en junio, reflejando mayor cautela en un contexto de demanda débil y economía cerca de la recesión técnica.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Sebastián Izquierdo, vicepresidente del CFA: “Si el menor PIB no fuera compensado por el alza del cobre, se requerirían mayores esfuerzos fiscales”</w:t>
      </w:r>
    </w:p>
    <w:p>
      <w:pPr>
        <w:spacing w:before="40" w:after="60"/>
        <w:ind w:left="283"/>
      </w:pPr>
      <w:r>
        <w:rPr>
          <w:rFonts w:ascii="Arial" w:hAnsi="Arial"/>
          <w:color w:val="404040"/>
          <w:sz w:val="21"/>
        </w:rPr>
        <w:t>El economista advierte por lo que considera un deterioro de la credibilidad del marco fiscal, en medio de los sucesivos incumplimientos de los objetivos de déficit estructural. ElConsejo Fiscal Autónomo (CFA)ha sido uno de los actores principales de la discusión económica este año. De muestra, un botón: su opinión ha sido requerida en temas tan amplios como el proyecto de ley misceláneo del gobierno; el proyecto que aumenta en US$ 6.200 millones el techo de endeudamiento máximo del sector público para este año; y la denuncia que lanzó el ministro de Hacienda, Jorge Quiroz, respecto de “inconsistencias aritméticas” que habrían derivado en no contabilizar US$ 10.600 millones de deuda pública en la proyección para el lapso 2026-2030. Y también prepara un pronunciamiento respecto a las metas establecidas por el Ejecutivo en su decreto fiscal.</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Microsoft elimina 4.800 empleos y se suma a la ola de despidos en el sector tecnológico impulsada por la IA</w:t>
      </w:r>
    </w:p>
    <w:p>
      <w:pPr>
        <w:spacing w:before="40" w:after="60"/>
        <w:ind w:left="283"/>
      </w:pPr>
      <w:r>
        <w:rPr>
          <w:rFonts w:ascii="Arial" w:hAnsi="Arial"/>
          <w:color w:val="404040"/>
          <w:sz w:val="21"/>
        </w:rPr>
        <w:t>Microsoft anunció el recorte de aproximadamente 4.800 empleos, equivalente al 2,1% de su plantilla global, en un contexto de inversión masiva en infraestructura de IA que presiona sus flujos de caja y obliga a demostrar retorno de esa tecnología. La medida se produce tras una caída de casi 23% en el precio de sus acciones en el primer semestre de 2026, el peor resultado desde 2022, y sigue a una oferta de retiro voluntario para el 7% de su personal en EE.UU. a inicio del año. El negocio de videojuegos Xbox es otra fuente de presión: con un margen de solo 3%, la división evalúa una posible escisión o reestructuración, mientras el crecimiento de Azure —motor de la nube y distribuidor exclusivo de OpenAI hasta abril— enfrenta costos crecientes de centros de datos.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navieras Maersk y Hapag-Lloyd comienzan a reanudar la ruta comercial por el canal de Suez</w:t>
      </w:r>
    </w:p>
    <w:p>
      <w:pPr>
        <w:spacing w:before="40" w:after="60"/>
        <w:ind w:left="283"/>
      </w:pPr>
      <w:r>
        <w:rPr>
          <w:rFonts w:ascii="Arial" w:hAnsi="Arial"/>
          <w:color w:val="404040"/>
          <w:sz w:val="21"/>
        </w:rPr>
        <w:t>Edward Gresser, exrepresentante adjunto de la USTR para Política Comercial y Economía: “La sección 301 es una opción de aranceles más sólida, lo que no significa que todos los casos sobrevivan”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Edward Gresser, exrepresentante adjunto de la USTR para Política Comercial y Economía: “La sección 301 es una opción de aranceles más sólida, lo que no significa que todos los casos sobrevivan”</w:t>
      </w:r>
    </w:p>
    <w:p>
      <w:pPr>
        <w:spacing w:before="40" w:after="60"/>
        <w:ind w:left="283"/>
      </w:pPr>
      <w:r>
        <w:rPr>
          <w:rFonts w:ascii="Arial" w:hAnsi="Arial"/>
          <w:color w:val="404040"/>
          <w:sz w:val="21"/>
        </w:rPr>
        <w:t>El actual vicepresidente del Progressive Policy Institute considera que el informe acusando importación de bienes de elaborados con trabajo forzoso carece de evidencia concreta y de un detalle respecto de cómo afecta a empresas de EEUU. Este 7 de julio comenzarán en Washington las audiencias públicas de la Oficina del Representante Comercial de Estados Unidos (USTR), donde representantes de 60 países, entre ellos Chile, expondrán sus argumentos para evitar la aplicación de aranceles de 12,5%. El proceso forma parte de un nuevo intento de la administración de Donald Trump por avanzar con su política comercial, luego de que la Corte Suprema invalidara el uso de la Ley de Poderes Económicos de Emergencia Internacional (IEEPA) para imponer tarifas de 10% en mayo.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Renacer nuclear de EEUU: 10 grandes reactores en construcción a 2030 y cuatro veces más capacidad a 2050</w:t>
      </w:r>
    </w:p>
    <w:p>
      <w:pPr>
        <w:spacing w:before="40" w:after="60"/>
        <w:ind w:left="283"/>
      </w:pPr>
      <w:r>
        <w:rPr>
          <w:rFonts w:ascii="Arial" w:hAnsi="Arial"/>
          <w:color w:val="404040"/>
          <w:sz w:val="21"/>
        </w:rPr>
        <w:t>La administración Trump comprometió US$ 17.500 millones en préstamos del Departamento de Energía para financiar la adquisición anticipada de componentes de reactores AP1000 de Westinghouse, con el objetivo de tener 10 grandes reactores en construcción antes de 2030 y cuadruplicar la capacidad nuclear instalada desde 100 a 400 gigavatios hacia 2050. La apuesta responde a una proyección de crecimiento del consumo eléctrico de 16% hacia 2029, impulsado por centros de datos, inteligencia artificial y electrificación, en un contexto donde la última gran planta nuclear se construyó hace décadas. El plan incluye reformar la Comisión Reguladora Nuclear para agilizar permisos, reconstruir la cadena de suministro de uranio y promover reactores modulares pequeños, aunque expertos advierten que la ejecución podría extenderse más allá del actual mandato presidencial.</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El secretario general de la ONU advierte de que la IA avanza más rápido que la regulación</w:t>
      </w:r>
    </w:p>
    <w:p>
      <w:pPr>
        <w:spacing w:before="40" w:after="60"/>
        <w:ind w:left="283"/>
      </w:pPr>
      <w:r>
        <w:rPr>
          <w:rFonts w:ascii="Arial" w:hAnsi="Arial"/>
          <w:color w:val="404040"/>
          <w:sz w:val="21"/>
        </w:rPr>
        <w:t>En el primer Diálogo Global de la ONU sobre Gobernanza de la IA, celebrado en Ginebra, el secretario general Antonio Guterres alertó que la inteligencia artificial se despliega a una velocidad que supera la capacidad de seguimiento incluso de quienes la desarrollan, mientras las instituciones globales carecen de marcos adecuados para supervisar sus decisiones. Guterres propuso un Compromiso por la Seguridad Infantil en IA que obligaría a las empresas a demostrar que sus sistemas son seguros para menores antes de lanzarlos, luego de casos de menores inducidos a autolesionarse por sistemas de IA. Un informe del panel científico independiente de la ONU reveló que EE.UU. concentra el 75% de la capacidad de cómputo de las 500 principales supercomputadoras para IA del mundo, mientras los países en desarrollo tienen escasa influencia en la evolución de esta tecnología.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Startup Ecometric abandona ScaleX: Las razones e historia de un levantamiento de capital fallido</w:t>
      </w:r>
    </w:p>
    <w:p>
      <w:pPr>
        <w:spacing w:before="40" w:after="60"/>
        <w:ind w:left="283"/>
      </w:pPr>
      <w:r>
        <w:rPr>
          <w:rFonts w:ascii="Arial" w:hAnsi="Arial"/>
          <w:color w:val="404040"/>
          <w:sz w:val="21"/>
        </w:rPr>
        <w:t>Ecometric, startup de Concepción dedicada al monitoreo de parques eólicos con IA, salió formalmente de ScaleX —el mercado alternativo de la Bolsa de Santiago— tras no recibir el capital comprometido en su apertura de marzo de 2024, cuando colocó acciones por US$ 1 millón pagadas con un pagaré que nunca fue honrado por el fondo Cron Venture. El error central fue aceptar un mecanismo de pago diferido en lugar de liquidez al contado, y delegar todo el proceso en un solo ejecutivo sin participación de los fundadores, lo que permitió que el pagaré fuera retirado de la notaría sin notificación. Tras reestructurarse internamente, reducir costos y levantar una ronda puente de US$ 300 mil con seis inversores ángeles —entre ellos Pablo Zamora de NotCo y Ariel Gringaus de Colegium—, la empresa eligió continuar su crecimiento fuera del mercado bursátil.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DF Lab Opinión/ Innovar no es pensar el futuro</w:t>
      </w:r>
    </w:p>
    <w:p>
      <w:pPr>
        <w:spacing w:before="40" w:after="60"/>
        <w:ind w:left="283"/>
      </w:pPr>
      <w:r>
        <w:rPr>
          <w:rFonts w:ascii="Arial" w:hAnsi="Arial"/>
          <w:color w:val="404040"/>
          <w:sz w:val="21"/>
        </w:rPr>
        <w:t>Marcelo Muñoz, CEO de Global Network Advisor, argumenta que América Latina comete el error de asociar innovación con disrupción tecnológica espectacular, cuando en realidad innovar significa mejorar la forma en que las organizaciones resuelven sus problemas concretos. La región tiene creatividad y adaptabilidad, pero carece de capacidad para sistematizar aprendizajes y convertirlos en productividad sostenida, lo que se agrava cuando se adopta tecnología —incluida IA— sin antes definir qué problema se quiere resolver. El autor concluye que la próxima frontera de la innovación latinoamericana estará en la mentalidad: construir organizaciones capaces de aprender, medir y ejecutar con consistencia, más que en perseguir grandes anuncios tecnológicos.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costo de los mercados ilícitos</w:t>
      </w:r>
    </w:p>
    <w:p>
      <w:pPr>
        <w:spacing w:before="40" w:after="60"/>
        <w:ind w:left="283"/>
      </w:pPr>
      <w:r>
        <w:rPr>
          <w:rFonts w:ascii="Arial" w:hAnsi="Arial"/>
          <w:color w:val="404040"/>
          <w:sz w:val="21"/>
        </w:rPr>
        <w:t>Un informe de la CPC titulado "Por un Chile sin Economía Ilícita" cuantifica que los mercados ilegales en Chile mueven más de US$ 5.700 millones anuales (1,5% del PIB), generan pérdidas fiscales superiores a US$ 1.500 millones y obligan al sector privado a destinar cerca de US$ 2.700 millones adicionales en prevención del delito. La tasa de fraude financiero en Chile es hasta 6,5 veces superior a la de Europa, y la UAF recibió más de 20.000 reportes de operaciones sospechosas en 2025, un aumento de 25,3%, aunque enfrenta limitaciones estructurales de capacidad. Entre las medidas propuestas destacan automatizar alertas bancarias con IA, exigir identificación obligatoria en plataformas de criptoactivos, bloquear casinos online no regulados y crear un registro público de beneficiarios finales de empresas, apuntando a cerrar los espacios donde el dinero ilícito se vuelve invisible para el Estado.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6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