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960"/>
        <w:jc w:val="left"/>
      </w:pPr>
    </w:p>
    <w:p>
      <w:pPr>
        <w:spacing w:after="120"/>
        <w:jc w:val="center"/>
      </w:pPr>
      <w:r>
        <w:rPr>
          <w:rFonts w:ascii="Arial" w:hAnsi="Arial"/>
          <w:b/>
          <w:color w:val="1F4E79"/>
          <w:sz w:val="60"/>
        </w:rPr>
        <w:t>DIARIO FINANCIERO</w:t>
      </w:r>
    </w:p>
    <w:p>
      <w:pPr>
        <w:spacing w:after="80"/>
        <w:jc w:val="center"/>
      </w:pPr>
      <w:r>
        <w:rPr>
          <w:rFonts w:ascii="Arial" w:hAnsi="Arial"/>
          <w:b w:val="0"/>
          <w:color w:val="404040"/>
          <w:sz w:val="32"/>
        </w:rPr>
        <w:t>Resumen Ejecutivo del Día</w:t>
      </w:r>
    </w:p>
    <w:p>
      <w:pPr>
        <w:spacing w:after="200"/>
        <w:jc w:val="center"/>
      </w:pPr>
      <w:r>
        <w:rPr>
          <w:rFonts w:ascii="Arial" w:hAnsi="Arial"/>
          <w:color w:val="2E75B6"/>
          <w:sz w:val="26"/>
        </w:rPr>
        <w:t>9 De Mayo De 2026</w:t>
      </w:r>
    </w:p>
    <w:p>
      <w:pPr>
        <w:jc w:val="center"/>
      </w:pPr>
      <w:r>
        <w:rPr>
          <w:rFonts w:ascii="Arial" w:hAnsi="Arial"/>
          <w:color w:val="999999"/>
          <w:sz w:val="20"/>
        </w:rPr>
        <w:t>1 secciones  ·  1 artículos</w:t>
      </w:r>
    </w:p>
    <w:p>
      <w:pPr>
        <w:spacing w:before="0" w:after="0"/>
      </w:pPr>
      <w:r>
        <w:br w:type="page"/>
      </w:r>
    </w:p>
    <w:p>
      <w:pPr>
        <w:spacing w:before="0" w:after="240"/>
      </w:pPr>
      <w:r>
        <w:rPr>
          <w:rFonts w:ascii="Arial" w:hAnsi="Arial"/>
          <w:b/>
          <w:color w:val="1F4E79"/>
          <w:sz w:val="28"/>
        </w:rPr>
        <w:t>ÍNDICE</w:t>
      </w:r>
    </w:p>
    <w:p>
      <w:pPr>
        <w:spacing w:before="0" w:after="0"/>
      </w:pPr>
      <w:r>
        <w:fldChar w:fldCharType="begin"/>
        <w:instrText xml:space="preserve"> TOC \o "1-2" \h \z \u </w:instrText>
        <w:fldChar w:fldCharType="separate"/>
      </w:r>
      <w:r>
        <w:rPr>
          <w:rFonts w:ascii="Arial" w:hAnsi="Arial"/>
          <w:i/>
          <w:color w:val="999999"/>
          <w:sz w:val="20"/>
        </w:rPr>
        <w:t>[ Presiona Ctrl+A y luego F9 para actualizar el índice ]</w:t>
      </w:r>
      <w:r>
        <w:fldChar w:fldCharType="end"/>
      </w:r>
    </w:p>
    <w:p>
      <w:pPr>
        <w:spacing w:before="0" w:after="0"/>
      </w:pPr>
      <w:r>
        <w:br w:type="page"/>
      </w:r>
    </w:p>
    <w:p>
      <w:pPr>
        <w:pStyle w:val="Heading1"/>
        <w:shd w:val="clear" w:color="auto" w:fill="1F4E79"/>
        <w:spacing w:before="320" w:after="160"/>
        <w:ind w:left="227"/>
      </w:pPr>
      <w:r>
        <w:rPr>
          <w:rFonts w:ascii="Arial" w:hAnsi="Arial"/>
          <w:b/>
          <w:color w:val="FFFFFF"/>
          <w:sz w:val="26"/>
        </w:rPr>
        <w:t>INTERNACIONAL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2E75B6"/>
          <w:sz w:val="22"/>
        </w:rPr>
        <w:t xml:space="preserve">1.  </w:t>
      </w:r>
      <w:r>
        <w:rPr>
          <w:rFonts w:ascii="Arial" w:hAnsi="Arial"/>
          <w:b/>
          <w:color w:val="1F4E79"/>
          <w:sz w:val="22"/>
        </w:rPr>
        <w:t>Estados Unidos impone sanciones a empresas chinas por supuestamente ayudar a Irán</w:t>
      </w:r>
    </w:p>
    <w:p>
      <w:pPr>
        <w:spacing w:before="40" w:after="60"/>
        <w:ind w:left="283"/>
      </w:pPr>
      <w:r>
        <w:rPr>
          <w:rFonts w:ascii="Arial" w:hAnsi="Arial"/>
          <w:color w:val="404040"/>
          <w:sz w:val="21"/>
        </w:rPr>
        <w:t>Washington impuso sanciones a tres compañías chinas del sector satelital comercial —The Earth Eye, MizarVision y Chang Guang Satellite Technology— por haber proporcionado imágenes satelitales que permitieron a Irán planificar y ejecutar ataques contra instalaciones militares estadounidenses en Oriente Medio durante la Operación Furia Épica. El Departamento de Estado señaló que los datos geoespaciales y análisis orbitales entregados facilitaron la vigilancia de emplazamientos clave, en algunos casos días antes de los ataques, y que Chang Guang ya tenía antecedentes de haber suministrado imágenes a los rebeldes hutíes en Yemen para atacar buques de guerra en el Mar Rojo. La medida, anunciada por el secretario Marco Rubio, se produce a pocos días de que el presidente Trump viaje a China para una cumbre con Xi Jinping, en la que se espera que ambos líderes traten el conflicto con Irán y el cierre del estrecho de Ormuz, con funcionarios estadounidenses presionando a Pekín para que intervenga en la consecución de un acuerdo definitivo.</w:t>
      </w:r>
    </w:p>
    <w:p>
      <w:pPr>
        <w:spacing w:before="0" w:after="80"/>
        <w:jc w:val="left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999999"/>
        <w:sz w:val="18"/>
      </w:rPr>
      <w:t xml:space="preserve">Página </w:t>
      <w:fldChar w:fldCharType="begin"/>
    </w:r>
    <w:r>
      <w:instrText>PAGE</w:instrText>
    </w:r>
    <w:r>
      <w:fldChar w:fldCharType="end"/>
    </w:r>
    <w:r>
      <w:rPr>
        <w:rFonts w:ascii="Arial" w:hAnsi="Arial"/>
        <w:color w:val="999999"/>
        <w:sz w:val="18"/>
      </w:rPr>
      <w:t xml:space="preserve"> de </w:t>
      <w:fldChar w:fldCharType="begin"/>
    </w:r>
    <w:r>
      <w:instrText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1F4E79"/>
        <w:sz w:val="18"/>
      </w:rPr>
      <w:t>Resumen Diario Financiero  ·  9 de mayo de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