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6 De Agosto De 2026</w:t>
      </w:r>
    </w:p>
    <w:p>
      <w:pPr>
        <w:jc w:val="center"/>
      </w:pPr>
      <w:r>
        <w:rPr>
          <w:rFonts w:ascii="Arial" w:hAnsi="Arial"/>
          <w:color w:val="999999"/>
          <w:sz w:val="20"/>
        </w:rPr>
        <w:t>6 secciones  ·  21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Caso Sartor: defensa de Pedro Pablo Larraín dispara contra la CMF y la estimación de perjuicio realizada por la Fiscalía</w:t>
      </w:r>
    </w:p>
    <w:p>
      <w:pPr>
        <w:spacing w:before="40" w:after="60"/>
        <w:ind w:left="283"/>
      </w:pPr>
      <w:r>
        <w:rPr>
          <w:rFonts w:ascii="Arial" w:hAnsi="Arial"/>
          <w:color w:val="404040"/>
          <w:sz w:val="21"/>
        </w:rPr>
        <w:t>En la sexta jornada de la formalización del caso Sartor, el abogado Jaime Winter, defensor de Pedro Pablo Larraín, dirigió sus críticas tanto a la CMF como a la estimación de perjuicio de la Fiscalía. Winter argumentó que la decisión de la CMF de suspender aportes sin suspender rescates provocó retiros por un 34% de los activos gestionados (más de $175.000 millones), lo que obligó a los fondos a vender sus activos más líquidos y generó pérdidas de al menos un 20% en el valor de la cartera. Respecto del perjuicio cifrado por la Fiscalía en US$190 millones, Winter sostuvo que la metodología es errónea porque equipara exposición con perjuicio, y señaló que inversiones como el proyecto Faena Residences Miami —con retornos proyectados de US$200 millones— aún no constituyen pérdida definitiva.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IPSA abre sobre los 11.200 puntos con avances SQM y más noticias positivas de la temporada de resultados</w:t>
      </w:r>
    </w:p>
    <w:p>
      <w:pPr>
        <w:spacing w:before="40" w:after="60"/>
        <w:ind w:left="283"/>
      </w:pPr>
      <w:r>
        <w:rPr>
          <w:rFonts w:ascii="Arial" w:hAnsi="Arial"/>
          <w:color w:val="404040"/>
          <w:sz w:val="21"/>
        </w:rPr>
        <w:t>La Bolsa de Santiago abrió con optimismo, con el S&amp;P IPSA subiendo 0,5% hasta los 11.207,75 puntos, impulsado principalmente por SQM-B (+2,4%) y Cenco Malls (+1,5%), esta última tras reportar utilidades del segundo trimestre de $55.868 millones, un alza de 27,9% en línea con estimaciones de consenso. El índice recuperó terreno a mitad de semana gracias a resultados corporativos positivos, la aprobación del Proyecto de Reconstrucción del Gobierno y las esperanzas de tregua en Medio Oriente. A nivel internacional, Wall Street operaba sin variaciones significativas, mientras que el petróleo Brent repuntaba 1,9% a US$80,9 por barril ante la falta de avances concretos en las negociaciones entre EE.UU. e Irán sobre el estrecho de Ormuz.</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Dólar abre estable con operadores atentos a los nuevos máximos históricos del cobre y a la evolución del conflicto geopolítico</w:t>
      </w:r>
    </w:p>
    <w:p>
      <w:pPr>
        <w:spacing w:before="40" w:after="60"/>
        <w:ind w:left="283"/>
      </w:pPr>
      <w:r>
        <w:rPr>
          <w:rFonts w:ascii="Arial" w:hAnsi="Arial"/>
          <w:color w:val="404040"/>
          <w:sz w:val="21"/>
        </w:rPr>
        <w:t>El dólar abrió plano en $914,5 mientras el cobre alcanzaba nuevos máximos históricos de US$6,46 por libra en Londres, con un alza de 1% en la jornada. ING señaló que el tipo de cambio podría caer hasta $900 si los precios del metal se sostienen, pero advirtió que una eventual extensión de aranceles estadounidenses al cobre podría ser un arma de doble filo para el peso chileno dependiendo de si las exportaciones chilenas quedan exentas. Los no residentes han reducido sus posiciones cortas contra el peso desde US$18.800 millones a fines de julio hasta US$16.000 millones, aunque siguen en niveles históricamente elevados.</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Capturas de jurel empiezan a repuntar, pero conservas no regresarían aún a supermercados porque menor talla de ejemplares obliga a destinarlos a congelado</w:t>
      </w:r>
    </w:p>
    <w:p>
      <w:pPr>
        <w:spacing w:before="40" w:after="60"/>
        <w:ind w:left="283"/>
      </w:pPr>
      <w:r>
        <w:rPr>
          <w:rFonts w:ascii="Arial" w:hAnsi="Arial"/>
          <w:color w:val="404040"/>
          <w:sz w:val="21"/>
        </w:rPr>
        <w:t>Tras meses de escasez, las flotas industriales del Biobío encontraron cardúmenes de jurel en las costas de Chiloé, capturando cerca del 50% de la cuota anual, aunque esto representa un 40% menos de lo normal a esta altura del año. El tamaño reducido de los ejemplares impide procesarlos como conserva, por lo que la producción se está destinando principalmente a congelado y harina de pescado. Camanchaca reportó una caída del 70% en su producción de latas (equivalente a 550.000 cajas de 24 unidades) y detuvo anticipadamente su planta de conservas en Coronel, importando caballa desde plantas extranjeras certificadas para abastecer el mercado local bajo su marca Único.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Paris estrena en Alto Las Condes la nueva generación de tiendas por departamento</w:t>
      </w:r>
    </w:p>
    <w:p>
      <w:pPr>
        <w:spacing w:before="40" w:after="60"/>
        <w:ind w:left="283"/>
      </w:pPr>
      <w:r>
        <w:rPr>
          <w:rFonts w:ascii="Arial" w:hAnsi="Arial"/>
          <w:color w:val="404040"/>
          <w:sz w:val="21"/>
        </w:rPr>
        <w:t>Cencosud reinauguró su tienda Paris en el centro comercial Alto Las Condes tras 10 meses de obras que abarcaron 7.200 metros cuadrados en cuatro niveles, sin cerrar el local en ningún momento. La remodelación duplicó la superficie de perfumería e incorporó marcas internacionales como Topshop, AllSaints, Farm Rio, Jo Malone y Penhaligon's, además de nuevos servicios como un café, beauty studio y personal shopper. La compañía presentó esta reapertura como el debut de una nueva generación del formato de tienda por departamento en Chile.</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Tribunal falla a favor de Alto Maipo en arbitraje con minera del grupo Luksic</w:t>
      </w:r>
    </w:p>
    <w:p>
      <w:pPr>
        <w:spacing w:before="40" w:after="60"/>
        <w:ind w:left="283"/>
      </w:pPr>
      <w:r>
        <w:rPr>
          <w:rFonts w:ascii="Arial" w:hAnsi="Arial"/>
          <w:color w:val="404040"/>
          <w:sz w:val="21"/>
        </w:rPr>
        <w:t>El tribunal del Centro de Arbitraje y Mediación de Santiago rechazó la solicitud de Minera Los Pelambres (grupo Luksic) de poner término anticipado al contrato de suministro de energía (PPA) con la hidroeléctrica Alto Maipo, vigente hasta junio de 2040. Además, el tribunal determinó que Los Pelambres incumplió el contrato al retener pagos y la condenó a abonar las sumas adeudadas con reajustes e intereses. Es el segundo fallo favorable para Alto Maipo en esta disputa; el primero fue ratificado por la Corte de Apelaciones y la semana pasada la Corte Suprema rechazó un recurso de la minera en ese caso anterior.</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Participación de comunidades enfrenta a CMPC con Ministerio Público de Brasil y la forestal descarta impacto en megaproyecto Natureza</w:t>
      </w:r>
    </w:p>
    <w:p>
      <w:pPr>
        <w:spacing w:before="40" w:after="60"/>
        <w:ind w:left="283"/>
      </w:pPr>
      <w:r>
        <w:rPr>
          <w:rFonts w:ascii="Arial" w:hAnsi="Arial"/>
          <w:color w:val="404040"/>
          <w:sz w:val="21"/>
        </w:rPr>
        <w:t>El Ministerio Público Federal de Brasil acusó a CMPC de no cumplir el proceso de consulta previa a comunidades indígenas, quilombolas y pescadores requerido para el proyecto Natureza, una inversión de US$4.600 millones para construir una planta de celulosa de 2,5 millones de toneladas anuales en Rio Grande do Sul. El MPF afirmó que CMPC no contactó al fiscal responsable ni presentó una propuesta para la Consulta Previa, Libre e Informada (CPFI), pese a que el procurador se había mostrado dispuesto a dialogar. CMPC respondió que la opinión del MPF no afecta los plazos del licenciamiento ambiental, que continúa ante la autoridad estatal Fepam.</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Asimet: industria metalúrgica metalmecánica sigue en recesión</w:t>
      </w:r>
    </w:p>
    <w:p>
      <w:pPr>
        <w:spacing w:before="40" w:after="60"/>
        <w:ind w:left="283"/>
      </w:pPr>
      <w:r>
        <w:rPr>
          <w:rFonts w:ascii="Arial" w:hAnsi="Arial"/>
          <w:color w:val="404040"/>
          <w:sz w:val="21"/>
        </w:rPr>
        <w:t>La industria metalúrgica metalmecánica registró una caída de 4% en junio, acumulando seis meses consecutivos de contracción y cerrando el primer semestre con una baja del 5,4%. Este desempeño contrasta con las señales de recuperación del Imacec de junio para el conjunto de la economía chilena. Comparada con 2018, la actividad sectorial se ubica 8,3% por debajo de ese nivel, lo que el presidente de Asimet, Fernando García, atribuye a un problema estructural y no a un fenómeno coyuntural.</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Informe del Banco Central: empresas advierten de aumentos de costos y nulas contrataciones, pero anticipan un mejor segundo semestre</w:t>
      </w:r>
    </w:p>
    <w:p>
      <w:pPr>
        <w:spacing w:before="40" w:after="60"/>
        <w:ind w:left="283"/>
      </w:pPr>
      <w:r>
        <w:rPr>
          <w:rFonts w:ascii="Arial" w:hAnsi="Arial"/>
          <w:color w:val="404040"/>
          <w:sz w:val="21"/>
        </w:rPr>
        <w:t>El Informe de Percepciones de Negocios del Banco Central revela que las empresas experimentan un desempeño moderado, por debajo de sus propias expectativas, con alzas significativas de costos derivadas del shock en precios de combustibles por el conflicto en Medio Oriente, que se trasladan también a transporte e insumos. La demanda más débil y el deterioro de las expectativas del consumidor han comprimido los márgenes empresariales al dificultar el traspaso de costos a precios finales. Pese a este escenario, las expectativas para los próximos 12 meses se mantienen en terreno optimista: las empresas anticipan un mejor desempeño en el segundo semestre y proyectan condiciones más favorables en 2027, supeditadas a mayor claridad regulatoria y política.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Los costos laborales se aceleran en junio, en un mes en que nuevamente los sueldos crecieron por sobre la inflación</w:t>
      </w:r>
    </w:p>
    <w:p>
      <w:pPr>
        <w:spacing w:before="40" w:after="60"/>
        <w:ind w:left="283"/>
      </w:pPr>
      <w:r>
        <w:rPr>
          <w:rFonts w:ascii="Arial" w:hAnsi="Arial"/>
          <w:color w:val="404040"/>
          <w:sz w:val="21"/>
        </w:rPr>
        <w:t>El INE reportó que el Índice Nominal de Remuneraciones creció 7,7% en doce meses en junio (vs. 7,3% en mayo), mientras que el Índice de Costos Laborales avanzó 8,4%, su mayor variación desde mayo de 2025, impulsado por comercio, industria manufacturera y construcción. Los salarios reales crecieron 3,2% interanual y acumulan un alza de 2,3% en el primer semestre, manteniéndose por encima de la inflación. El INE destacó que la reducción de la jornada a 42 horas semanales —vigente desde abril— y el aumento gradual de cotizaciones de cargo del empleador por la reforma previsional están comenzando a reflejarse en los indicadores laborales.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Auditoras se alistan para debut de ley miscelánea en medio de inquietud por efecto de rebaja de impuesto a empresas e invariabilidad</w:t>
      </w:r>
    </w:p>
    <w:p>
      <w:pPr>
        <w:spacing w:before="40" w:after="60"/>
        <w:ind w:left="283"/>
      </w:pPr>
      <w:r>
        <w:rPr>
          <w:rFonts w:ascii="Arial" w:hAnsi="Arial"/>
          <w:color w:val="404040"/>
          <w:sz w:val="21"/>
        </w:rPr>
        <w:t>Tras la aprobación en el Senado de la Ley de Reconstrucción y Reactivación, las cuatro grandes firmas de auditoría (EY, Deloitte, PwC y KPMG) iniciaron procesos intensivos de asesoría a clientes sobre los efectos de la reforma, que abarca impuesto corporativo, renta, donaciones, repatriación de capitales, vivienda e invariabilidad tributaria. Las principales consultas se concentran en la rebaja gradual del impuesto de Primera Categoría y sus efectos en impuestos diferidos, el régimen de repatriación de capitales y el nuevo régimen de invariabilidad para proyectos desde US$50 millones. Una incertidumbre clave es la resolución pendiente del Tribunal Constitucional sobre el mecanismo de invariabilidad, impugnado por la oposición, que frena decisiones de inversión en sectores como minería y energía.</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Minuta del Banco Central afianza expectativa de una mantención de tasas en próximas reuniones</w:t>
      </w:r>
    </w:p>
    <w:p>
      <w:pPr>
        <w:spacing w:before="40" w:after="60"/>
        <w:ind w:left="283"/>
      </w:pPr>
      <w:r>
        <w:rPr>
          <w:rFonts w:ascii="Arial" w:hAnsi="Arial"/>
          <w:color w:val="404040"/>
          <w:sz w:val="21"/>
        </w:rPr>
        <w:t>La minuta de la última reunión monetaria del Banco Central confirmó que el único escenario evaluado fue mantener la tasa en 4,5%, afianzando las expectativas de que no habrá cambios en las próximas reuniones hasta que disminuya la incertidumbre externa y se tenga mayor certeza sobre la convergencia inflacionaria. El análisis de Santander destacó que la discusión incorporó un deterioro de las expectativas de consumo e inversión, con la autoridad distinguiendo cuánto de esto responde al shock petrolero versus una percepción menos favorable de la economía local. El balance para el Banco Central sigue siendo mixto: inflación algo más alta en el corto plazo, pero actividad, inversión y empleo más débiles.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¿Y la competitividad de los envíos chilenos? Salmones quedan en mejor pie que la uva</w:t>
      </w:r>
    </w:p>
    <w:p>
      <w:pPr>
        <w:spacing w:before="40" w:after="60"/>
        <w:ind w:left="283"/>
      </w:pPr>
      <w:r>
        <w:rPr>
          <w:rFonts w:ascii="Arial" w:hAnsi="Arial"/>
          <w:color w:val="404040"/>
          <w:sz w:val="21"/>
        </w:rPr>
        <w:t>Un estudio del OCEC-UDP concluye que la pérdida de competitividad de Chile por los nuevos aranceles estadounidenses es marginal y se concentra principalmente en las uvas. Los cátodos de cobre —el principal producto de exportación a EE.UU., con 44,8% del total en 2025— quedaron exentos del arancel adicional de 12,5%. El salmón (14% de los envíos) enfrenta el arancel, pero mantiene competitividad porque su principal rival, Noruega, tiene la misma carga arancelaria. Las uvas (4,2% de los envíos), en cambio, pierden terreno frente a México, cuyos envíos enfrentan un arancel de solo 10% y pueden calificar para exenciones bajo el USMCA.</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La advertencia de Todd Martínez, responsable de calificación de Fitch Ratings: “Chile no tiene mucho espacio para seguir subiendo la deuda sin que implique algo para la calificación”</w:t>
      </w:r>
    </w:p>
    <w:p>
      <w:pPr>
        <w:spacing w:before="40" w:after="60"/>
        <w:ind w:left="283"/>
      </w:pPr>
      <w:r>
        <w:rPr>
          <w:rFonts w:ascii="Arial" w:hAnsi="Arial"/>
          <w:color w:val="404040"/>
          <w:sz w:val="21"/>
        </w:rPr>
        <w:t>El director senior de Fitch Ratings y Codirector de Soberanos de América, quien es el encargado de la nota que se asigna al país, indicó que sin un plan de estabilización “habría un riesgo” para la actual nota A- en el mediano plazo. El director senior de Fitch Ratings, Todd Martínez, puso una nota de alerta este miércoles en el evento que la clasificadora de riesgo realizó en Santiago. Al exponer, el encargado de la nota de Chile (A- con perspectiva estable), planteó que “si la deuda/PIB sigue subiendo por encima de 45% y no hay un plan concreto para estabilizarla, podría poner en riesgo la calificación actual”. En entrevista con DF, el analista precisó que tampoco cree que el gobierno cumpla con su meta de déficit de 1,5% del PIB al final de la administración y ve como un desafío el recorte de gasto comprometido.</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Gobierno afina nuevas indicaciones a sala cuna para asegurar que aporte refleje costos reales</w:t>
      </w:r>
    </w:p>
    <w:p>
      <w:pPr>
        <w:spacing w:before="40" w:after="60"/>
        <w:ind w:left="283"/>
      </w:pPr>
      <w:r>
        <w:rPr>
          <w:rFonts w:ascii="Arial" w:hAnsi="Arial"/>
          <w:color w:val="404040"/>
          <w:sz w:val="21"/>
        </w:rPr>
        <w:t>El proyecto de sala cuna inició su análisis en la comisión de Hacienda del Senado, donde el gobierno anticipó nuevas indicaciones para reforzar el diseño del beneficio. El ministro del Trabajo, Tomás Rau, anunció que se incluirá expresamente en la ley la supervisión de la Superintendencia de Educación sobre todos los establecimientos participantes, y que se trabaja con la Dipres para que los montos de aporte reflejen los precios reales de mercado por región y eviten copagos excesivos. El Ejecutivo se declaró abierto a modificaciones adicionales para lograr el apoyo más transversal posible.</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OpenAI afirma que la demanda de Apple por secretos comerciales busca impedir que sus empleados renuncien</w:t>
      </w:r>
    </w:p>
    <w:p>
      <w:pPr>
        <w:spacing w:before="40" w:after="60"/>
        <w:ind w:left="283"/>
      </w:pPr>
      <w:r>
        <w:rPr>
          <w:rFonts w:ascii="Arial" w:hAnsi="Arial"/>
          <w:color w:val="404040"/>
          <w:sz w:val="21"/>
        </w:rPr>
        <w:t>OpenAI presentó ante un tribunal federal de California una solicitud para desestimar la demanda de Apple por supuesta apropiación de secretos comerciales, calificándola de 'infundada y pretextual' con el objetivo de retener talento. OpenAI argumentó que Apple no identificó información confidencial específica sustraída y que tergiversó sus propios deficientes procedimientos de desvinculación, que mezclaban datos corporativos y personales en cuentas de iCloud. La disputa se enmarca en la competencia por talento tecnológico: OpenAI —valorada en US$852.000 millones— adquirió por US$6.400 millones io Products (fundada por el ex jefe de diseño de Apple, Jony Ive) y ha contratado activamente ingenieros de Apple para desarrollar su propio dispositivo de IA.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Crisis migratoria en Ceuta expone fractura europea por el control de las fronteras</w:t>
      </w:r>
    </w:p>
    <w:p>
      <w:pPr>
        <w:spacing w:before="40" w:after="60"/>
        <w:ind w:left="283"/>
      </w:pPr>
      <w:r>
        <w:rPr>
          <w:rFonts w:ascii="Arial" w:hAnsi="Arial"/>
          <w:color w:val="404040"/>
          <w:sz w:val="21"/>
        </w:rPr>
        <w:t>Entre 50.000 y 60.000 personas ingresaron en tres días a la española Ceuta (85.000 habitantes), con más de 70 muertos, exponiendo profundas fracturas en la solidaridad europea. España pidió responsabilidad compartida en el control de fronteras exteriores, pero Italia, Finlandia y otros 22 líderes europeos culparon a Madrid por sus políticas migratorias y propusieron su suspensión temporal de Schengen. Analistas de Real Instituto Elcano, ECFR y Chatham House coincidieron en que la respuesta europea —de culpar al Estado afectado en vez de mostrar solidaridad— rebaja el costo político de usar la migración como instrumento de presión geopolítica por parte de terceros países como Marruecos.</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Centro de Innovación UC inicia trabajo para diseñar hoja de ruta de soberanía tecnológica y digital</w:t>
      </w:r>
    </w:p>
    <w:p>
      <w:pPr>
        <w:spacing w:before="40" w:after="60"/>
        <w:ind w:left="283"/>
      </w:pPr>
      <w:r>
        <w:rPr>
          <w:rFonts w:ascii="Arial" w:hAnsi="Arial"/>
          <w:color w:val="404040"/>
          <w:sz w:val="21"/>
        </w:rPr>
        <w:t>El Centro de Innovación UC Anacleto Angelini lanzó una Hoja de Ruta de Soberanía Digital para que Chile tome decisiones informadas sobre su dependencia tecnológica en telecomunicaciones, centros de datos, chips e inteligencia artificial. Siguiendo la metodología usada en ciberseguridad —que impulsó la Ley Marco de Ciberseguridad—, el proyecto convocará a academia, sector público, reguladores y empresas en mesas de trabajo durante el segundo semestre de 2026, con proyectos ejecutables previstos para 2027. El director ejecutivo Ramón Molina señaló que el objetivo no es lograr autarquía tecnológica, sino tomar decisiones conscientes sobre qué dependencias aceptar, y que Chile aspira a convertirse en hub regional para articular políticas tecnológicas comunes con Europa.</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NORMALIZACIÓN DE LA ECONOMÍA ARGENTINA</w:t>
      </w:r>
    </w:p>
    <w:p>
      <w:pPr>
        <w:spacing w:before="40" w:after="60"/>
        <w:ind w:left="283"/>
      </w:pPr>
      <w:r>
        <w:rPr>
          <w:rFonts w:ascii="Arial" w:hAnsi="Arial"/>
          <w:color w:val="404040"/>
          <w:sz w:val="21"/>
        </w:rPr>
        <w:t>La columna argumenta que la normalización financiera de Argentina bajo Milei —especialmente la liberalización del mercado de capitales impulsada por el ministro Sturzenegger— es una señal positiva para la región, pero plantea un riesgo competitivo real para Chile en minería. El Régimen de Incentivo para Grandes Inversiones (RIGI) argentino fija por ley, durante 30 años, que no se agravará la carga tributaria, reduce el impuesto a las ganancias de 35% a 25% y exime exportaciones desde el tercer año, lo que reduce la prima de riesgo regulatorio frente al royalty chileno —que puede alcanzar una carga combinada de 46,5%—. El proyecto Vicuña (BHP/Lundin Mining, US$9.700 millones de inversión inicial, 500.000 toneladas de cobre al año desde 2030) en San Juan se cita como evidencia de que la arquitectura regulatoria argentina ya está captando inversiones mineras de primer nivel que podrían haber llegado a Chile.</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Mala noticia para contribuyentes</w:t>
      </w:r>
    </w:p>
    <w:p>
      <w:pPr>
        <w:spacing w:before="40" w:after="60"/>
        <w:ind w:left="283"/>
      </w:pPr>
      <w:r>
        <w:rPr>
          <w:rFonts w:ascii="Arial" w:hAnsi="Arial"/>
          <w:color w:val="404040"/>
          <w:sz w:val="21"/>
        </w:rPr>
        <w:t>La columna critica el Decreto N°437 del Ministerio de Hacienda, que limita la condonación de intereses y multas por deudas tributarias a un plazo máximo de 24 meses desde que el SII efectúa el giro de diferencias de impuestos. Antes del decreto, los contribuyentes podían obtener condonaciones de hasta 60-70% sin plazo fatal; ahora, si el litigio con el SII se extiende más de dos años —como ocurre habitualmente ante tribunales superiores—, pierden ese derecho. El autor argumenta que esto contradice el artículo 147 del Código Tributario, que permite suspender el cobro durante el litigio, y que en la práctica obliga a los contribuyentes a pagar antes de que concluya el proceso judicial, profundizando la asimetría entre el SII y los particulares.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Delitos económicos</w:t>
      </w:r>
    </w:p>
    <w:p>
      <w:pPr>
        <w:spacing w:before="40" w:after="60"/>
        <w:ind w:left="283"/>
      </w:pPr>
      <w:r>
        <w:rPr>
          <w:rFonts w:ascii="Arial" w:hAnsi="Arial"/>
          <w:color w:val="404040"/>
          <w:sz w:val="21"/>
        </w:rPr>
        <w:t>La columna advierte que sería un error convertir la discusión sobre las medidas cautelares del caso Sartor en un examen del éxito o fracaso de la Ley de Delitos Económicos (publicada en agosto de 2023). Si bien esa ley establece sanciones más rigurosas para delitos corporativos, no modificó el estándar legal de la prisión preventiva, que sigue siendo excepcional en el ordenamiento chileno. El autor llama a distinguir entre el endurecimiento de penas previsto en la ley y la procedencia de la privación de libertad como medida cautelar, que debe evaluarse por sus propios criterios y no por la gravedad del caso ni por la expectativa pública.</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6 de agosto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