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8 De Junio De 2026</w:t>
      </w:r>
    </w:p>
    <w:p>
      <w:pPr>
        <w:jc w:val="center"/>
      </w:pPr>
      <w:r>
        <w:rPr>
          <w:rFonts w:ascii="Arial" w:hAnsi="Arial"/>
          <w:color w:val="999999"/>
          <w:sz w:val="20"/>
        </w:rPr>
        <w:t>6 secciones  ·  30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abre a la baja y arriesga una séptima jornada de pérdidas atenta a Medio Oriente y al suave IPC en Chile</w:t>
      </w:r>
    </w:p>
    <w:p>
      <w:pPr>
        <w:spacing w:before="40" w:after="60"/>
        <w:ind w:left="283"/>
      </w:pPr>
      <w:r>
        <w:rPr>
          <w:rFonts w:ascii="Arial" w:hAnsi="Arial"/>
          <w:color w:val="404040"/>
          <w:sz w:val="21"/>
        </w:rPr>
        <w:t>El S&amp;P IPSA cayó 0,5% a 10.222 puntos durante la mañana del lunes, acumulando una posible séptima jornada consecutiva de pérdidas, con Latam (-1,9%) y SQM-B (-1,4%) entre los peores retornos. La incertidumbre geopolítica por los ataques entre Israel e Irán se combinó con un IPC de mayo más bajo de lo esperado —0,2% mensual y 3,9% anual—, lo que impulsó la demanda de renta fija y llevó los rendimientos de bonos y swaps a caer unos 5 puntos base. Wall Street buscaba recuperarse tras la fuerte caída del viernes, con el Nasdaq avanzando cerca de 1%, mientras el petróleo Brent se moderaba a US$94 el barril tras el anuncio de cese de hostilidades de Irán.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con leve caída mientras se calman las tensiones en Medio Oriente y tras IPC en Chile más moderado que las proyecciones</w:t>
      </w:r>
    </w:p>
    <w:p>
      <w:pPr>
        <w:spacing w:before="40" w:after="60"/>
        <w:ind w:left="283"/>
      </w:pPr>
      <w:r>
        <w:rPr>
          <w:rFonts w:ascii="Arial" w:hAnsi="Arial"/>
          <w:color w:val="404040"/>
          <w:sz w:val="21"/>
        </w:rPr>
        <w:t>El dólar cayó $2,9 hasta los $911,4 al inicio de la semana, revirtiendo parte del alza de casi $20 registrada el viernes tras los sólidos datos de nóminas de empleo estadounidenses. La distensión en Medio Oriente —Irán declaró el cese de sus operaciones militares contra Israel— alivió los mercados globales, con el dollar index cediendo la marca de 100 puntos y el cobre Comex avanzando 1,8% a US$6,4 por libra. El IPC chileno de mayo subió solo 0,2%, por debajo de las estimaciones del mercado, moderando la inflación anual a 3,9% y reduciendo el temor a una inflación más persistente.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Zoom a los primeros meses de operación de los beneficios del Seguro Social</w:t>
      </w:r>
    </w:p>
    <w:p>
      <w:pPr>
        <w:spacing w:before="40" w:after="60"/>
        <w:ind w:left="283"/>
      </w:pPr>
      <w:r>
        <w:rPr>
          <w:rFonts w:ascii="Arial" w:hAnsi="Arial"/>
          <w:color w:val="404040"/>
          <w:sz w:val="21"/>
        </w:rPr>
        <w:t>A cuatro meses de entrar en operación, los beneficios del Seguro Social Previsional —creado por la reforma previsional aprobada el año anterior— alcanzaron a 1.417.190 personas a abril, con un costo acumulado de $114.622 millones. Los dos beneficios vigentes son la compensación por mayor expectativa de vida para mujeres (promedio de $10.232 mensuales) y la garantía por años cotizados ($98.133 promedio para hombres y $80.634 para mujeres que solo acceden a este beneficio). La subsecretaria de Previsión Social destacó que la implementación siguió según lo planificado y anunció una campaña para incentivar a mujeres a postergar la jubilación hasta los 65 años, lo que permite acceder al 100% de la compensación y aumentar hasta 40% la pensión individual.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Crece el apetito por mutuos: instrumentos custodiados en la Bolsa de Productos se sextuplican tras cambios regulatorios</w:t>
      </w:r>
    </w:p>
    <w:p>
      <w:pPr>
        <w:spacing w:before="40" w:after="60"/>
        <w:ind w:left="283"/>
      </w:pPr>
      <w:r>
        <w:rPr>
          <w:rFonts w:ascii="Arial" w:hAnsi="Arial"/>
          <w:color w:val="404040"/>
          <w:sz w:val="21"/>
        </w:rPr>
        <w:t>El stock de mutuos custodiados en la Bolsa de Productos de Chile se sextuplicó desde diciembre de 2024, alcanzando $372.014 millones (cerca de US$412 millones) al cierre de mayo, con un crecimiento de 21% solo en lo que va del año. El principal motor fue el segmento de carteras —mutuos hipotecarios endosables y créditos automotrices—, que creció 884% desde fines de 2024, canalizado a través de fondos de inversión cuyos aportantes son AFP y compañías de seguros. Los cambios regulatorios que permitieron a las AFP invertir indirectamente en estos instrumentos fueron el factor determinante, con gestoras como BTG Pactual y Frontal Trust como principales actores del mercado.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Fernando Cañas, presidente de la Bolsa Electrónica de Chile (BEC): “Este gobierno está mucho más jugado por el desarrollo del mercado que el anterior”</w:t>
      </w:r>
    </w:p>
    <w:p>
      <w:pPr>
        <w:spacing w:before="40" w:after="60"/>
        <w:ind w:left="283"/>
      </w:pPr>
      <w:r>
        <w:rPr>
          <w:rFonts w:ascii="Arial" w:hAnsi="Arial"/>
          <w:color w:val="404040"/>
          <w:sz w:val="21"/>
        </w:rPr>
        <w:t>El CFA alerta que proyecto de ley misceláneo mantiene riesgos para las finanzas del Estado y podría deteriorar aún más las arcas públicas A su juicio, la actual administración ha mostrado una mayor disposición a impulsar esta agenda. Sin embargo, estima que aún falta comunicar su aporte al crecimiento del país. Si hay un ejecutivo vigente, que conoce de cerca el desarrollo del mercado de capitales chileno, es Fernando Cañas. Su trayectoria habla por sí sola: trabajó en los extintos Banco Santiago y Banco O’Higgins, además de Banco Santander Chile -fue gerente general- y Banco de Chile, entidad donde alcanzó la presidencia.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Nuevo proyecto de uso mixto comercial-habitacional en Pitrufquén por US$ 69 millones</w:t>
      </w:r>
    </w:p>
    <w:p>
      <w:pPr>
        <w:spacing w:before="40" w:after="60"/>
        <w:ind w:left="283"/>
      </w:pPr>
      <w:r>
        <w:rPr>
          <w:rFonts w:ascii="Arial" w:hAnsi="Arial"/>
          <w:color w:val="404040"/>
          <w:sz w:val="21"/>
        </w:rPr>
        <w:t>La Inmobiliaria Elisur lanzó oficialmente el proyecto Nuevo Oriente en la comuna de Pitrufquén, Región de la Araucanía, con una inversión de US$69 millones en un predio de 5,7 hectáreas frente a la Ruta S-65. El complejo contempla un mall vecinal, un edificio comercial de cinco niveles, dos condominios con 592 unidades habitacionales y una estación de servicio, con una superficie construida referencial de 63.191 metros cuadrados. La construcción comenzaría en agosto de 2026 de manera gradual por etapas, con fecha de finalización proyectada para diciembre de 2031.</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Mercado de oficinas premium en Santiago centro no despega: canon de arriendo promedio sigue por debajo de 2019</w:t>
      </w:r>
    </w:p>
    <w:p>
      <w:pPr>
        <w:spacing w:before="40" w:after="60"/>
        <w:ind w:left="283"/>
      </w:pPr>
      <w:r>
        <w:rPr>
          <w:rFonts w:ascii="Arial" w:hAnsi="Arial"/>
          <w:color w:val="404040"/>
          <w:sz w:val="21"/>
        </w:rPr>
        <w:t>La tasa de vacancia de oficinas clase AA+ en Santiago Centro llegó a 14,3% en el primer trimestre de 2026, con una leve baja respecto al máximo histórico de 15,1% registrado a comienzos del año anterior, manteniéndose en niveles históricamente altos tras más que triplicarse desde el 2,3% de 2019. El canon de arriendo promedio se sitúa en 0,34 UF/m2, aún por debajo de las 0,44 UF/m2 previas al estallido social, y el total de metros cuadrados desocupados en la comuna supera los 59.600 m2. La recuperación gradual esperada para 2026 provendría principalmente de entidades gubernamentales que buscan consolidar oficinas de menor estándar por espacios premium a precios atractivos, aunque una recuperación significativa requiere mejoras en seguridad y orden público.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Menor llegada de argentinos golpea las ventas de los grandes retailers en Chile, mientras sus operaciones en el exterior avanzan a dos dígitos</w:t>
      </w:r>
    </w:p>
    <w:p>
      <w:pPr>
        <w:spacing w:before="40" w:after="60"/>
        <w:ind w:left="283"/>
      </w:pPr>
      <w:r>
        <w:rPr>
          <w:rFonts w:ascii="Arial" w:hAnsi="Arial"/>
          <w:color w:val="404040"/>
          <w:sz w:val="21"/>
        </w:rPr>
        <w:t>La desaceleración del turismo argentino, junto con un entorno local de consumo más débil —desempleo de 9,1% y mayores expectativas inflacionarias—, impactó negativamente a los grandes retailers chilenos en el primer trimestre de 2026: Ripley cayó 9,3% en ventas locales con un derrumbe de 90,2% en su Ebitda, Cencosud retrocedió 12,6% en tiendas por departamento y Forus 5,6%, mientras Falabella e Hites mostraron resultados prácticamente estancados. En contraste, las operaciones internacionales avanzaron a doble dígito: Forus creció 18,1% en sus filiales latinoamericanas, Ripley Perú subió 16,8% y Falabella Perú se expandió 19,8%. La única excepción local positiva fue Tricot con un alza de 11,3% en ventas, aunque con contracción de márgenes y caída del Ebitda.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Cesco propone que Codelco sea un holding, desacoplar el gobierno corporativo del ciclo político y abrir a la bolsa proyectos de exploración</w:t>
      </w:r>
    </w:p>
    <w:p>
      <w:pPr>
        <w:spacing w:before="40" w:after="60"/>
        <w:ind w:left="283"/>
      </w:pPr>
      <w:r>
        <w:rPr>
          <w:rFonts w:ascii="Arial" w:hAnsi="Arial"/>
          <w:color w:val="404040"/>
          <w:sz w:val="21"/>
        </w:rPr>
        <w:t>El think tank minero Cesco planteó transformar Codelco en una sociedad matriz tipo holding dividiendo sus operaciones en filiales por criterio operacional o geográfico —norte, centro y sur, más puertos y fundiciones—, para enfrentar lo que califica como una crisis estructural de productividad y gobernanza en la cuprera. La producción cayó de 1,7 millones a entre 1,3 y 1,4 millones de toneladas anuales pese al mayor ciclo de inversión de su historia, mientras la deuda alcanzó máximos históricos incluso con precios del cobre elevados. Cesco también propuso desligar el directorio de los ciclos políticos para asegurar continuidad estratégica, privilegiar la rentabilidad sobre metas de producción, y abrir proyectos de exploración a bolsas internacionales como las de Toronto, Londres o Australia para diversificar el financiamiento.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Filántropos, empresas y organismos internacionales se sientan a hablar de dinero para salvar la biodiversidad en Chile</w:t>
      </w:r>
    </w:p>
    <w:p>
      <w:pPr>
        <w:spacing w:before="40" w:after="60"/>
        <w:ind w:left="283"/>
      </w:pPr>
      <w:r>
        <w:rPr>
          <w:rFonts w:ascii="Arial" w:hAnsi="Arial"/>
          <w:color w:val="404040"/>
          <w:sz w:val="21"/>
        </w:rPr>
        <w:t>A fines de mayo se realizó en la UC un seminario internacional sobre alianzas público-privadas para la conservación de la naturaleza, organizado por el SBAP y el Ministerio del Medio Ambiente con respaldo del PNUD, la FAO y el GEF. Entre los asistentes destacaron la Fundación Piñera Morel, Filantropía Cortés Solari, Latam Airlines, Rewilding Chile y la organización estadounidense The Pew Charitable Trusts, cuya presencia fue interpretada como señal de que Chile está en el radar de los grandes actores internacionales de conservación. Las discusiones se centraron en instrumentos como créditos de biodiversidad, pagos por servicios ecosistémicos y bioeconomía para atraer capital privado hacia la conservación a cambio de retorno financiero, reputación o cumplimiento regulatorio.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Bienes Nacionales licitará más de 21 mil hectáreas de suelo fiscal para energías renovables y avanza en concesiones para data centers</w:t>
      </w:r>
    </w:p>
    <w:p>
      <w:pPr>
        <w:spacing w:before="40" w:after="60"/>
        <w:ind w:left="283"/>
      </w:pPr>
      <w:r>
        <w:rPr>
          <w:rFonts w:ascii="Arial" w:hAnsi="Arial"/>
          <w:color w:val="404040"/>
          <w:sz w:val="21"/>
        </w:rPr>
        <w:t>El Ministerio de Bienes Nacionales convocará en el segundo semestre de 2026 un concurso público por 32 polígonos en la macrozona norte que suman más de 21.000 hectáreas para proyectos de energías renovables, incluyendo sitios con potencial eólico en Taltal y fotovoltaico en Tocopilla. El portafolio vigente de concesiones para renovables ya cuenta con 236 contratos activos que generan $62 mil millones anuales al Fisco y representan US$15 mil millones en inversión privada materializada, con una cartera total que supera los 29 GW y US$26 mil millones entre inversión ejecutada y proyectada. Adicionalmente, el ministerio tramita al menos 10 solicitudes de concesión para data centers en Antofagasta, con inversiones superiores a US$3 mil millones en los desarrollos más grandes, y anunció que la primera concesión para un data center en suelo fiscal se otorgaría próximamente.</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Robos de baterías golpean a las telcos: en 2025 se registraron casi 8 mil sustracciones ilícitas en Chile</w:t>
      </w:r>
    </w:p>
    <w:p>
      <w:pPr>
        <w:spacing w:before="40" w:after="60"/>
        <w:ind w:left="283"/>
      </w:pPr>
      <w:r>
        <w:rPr>
          <w:rFonts w:ascii="Arial" w:hAnsi="Arial"/>
          <w:color w:val="404040"/>
          <w:sz w:val="21"/>
        </w:rPr>
        <w:t>El robo de baterías de telecomunicaciones se disparó 43% en 2025, llegando a 7.829 unidades sustraídas, con costos que rondan los US$45 millones anuales para la industria, según ChileTelcos. Las regiones más afectadas fueron Valparaíso (1.719 robos), Biobío (1.112) y la Región Metropolitana (932), y los ilícitos suelen ir acompañados de destrucción de equipos e infraestructura civil en los sitios afectados. Las compañías piden avanzar en la tramitación de la Ley de Infraestructura Crítica y mejorar las herramientas de investigación y persecución, dada la importancia de estas baterías para mantener las redes operativas —incluyendo el sistema de alerta de emergencia— durante cortes de suministro eléctrico.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El CFA alerta que proyecto de ley misceláneo mantiene riesgos para las finanzas del Estado y podría deteriorar aún más las arcas públicas</w:t>
      </w:r>
    </w:p>
    <w:p>
      <w:pPr>
        <w:spacing w:before="40" w:after="60"/>
        <w:ind w:left="283"/>
      </w:pPr>
      <w:r>
        <w:rPr>
          <w:rFonts w:ascii="Arial" w:hAnsi="Arial"/>
          <w:color w:val="404040"/>
          <w:sz w:val="21"/>
        </w:rPr>
        <w:t>La presidenta del Consejo Fiscal Autónomo (CFA), Paula Benavides, expuso ante la Comisión de Hacienda del Senado advirtiendo que el proyecto de ley misceláneo de reactivación y reconstrucción, pese a algunas modificaciones positivas, mantiene riesgos significativos para la sostenibilidad fiscal. El CFA señaló que los costos directos del proyecto son ciertos y se materializan desde el primer año, mientras que los beneficios vía mayor crecimiento económico son graduales, inciertos en magnitud y en velocidad de materialización. Este descalce podría traducirse en un deterioro fiscal adicional al proyectado en el informe financiero del gobierno, agravando la ya estrecha situación de las finanzas públicas.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Claves del Congreso: Consejo Fiscal Autónomo (CFA) aterriza en el Parlamento para referirse a proyectos del gobierno</w:t>
      </w:r>
    </w:p>
    <w:p>
      <w:pPr>
        <w:spacing w:before="40" w:after="60"/>
        <w:ind w:left="283"/>
      </w:pPr>
      <w:r>
        <w:rPr>
          <w:rFonts w:ascii="Arial" w:hAnsi="Arial"/>
          <w:color w:val="404040"/>
          <w:sz w:val="21"/>
        </w:rPr>
        <w:t>La semana parlamentaria estará dominada por la tramitación simultánea, con urgencia suma, del proyecto misceláneo de reactivación —con extensa jornada en la Comisión de Hacienda del Senado que incluye la exposición del CFA— y del proyecto de mayor endeudamiento del gobierno central en la Cámara, donde el CFA también comparecerá el martes junto al ministro Quiroz. La oposición considera riesgoso avanzar en rebajas de impuestos y mayor endeudamiento en paralelo, con un contexto de estrechez fiscal, y aguarda las opiniones técnicas del organismo como argumento en el debate. En forma paralela, la Comisión de Minería del Senado analizará el informe de auditoría de Codelco que habría confirmado anomalías en el reporte de producción del cierre de 2025, con presencia del presidente del directorio Bernardo Fontaine y el CEO Jorge Gómez.</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IPC de mayo sube menos que lo esperado por los analistas y la inflación en 12 meses se modera a 3,9%</w:t>
      </w:r>
    </w:p>
    <w:p>
      <w:pPr>
        <w:spacing w:before="40" w:after="60"/>
        <w:ind w:left="283"/>
      </w:pPr>
      <w:r>
        <w:rPr>
          <w:rFonts w:ascii="Arial" w:hAnsi="Arial"/>
          <w:color w:val="404040"/>
          <w:sz w:val="21"/>
        </w:rPr>
        <w:t>El IPC de mayo subió 0,2% mensual, por debajo del 0,4% esperado por el consenso de mercado según Bloomberg, moderando la inflación anual a 3,9% desde niveles más altos de meses anteriores. Las divisiones con mayor incidencia positiva fueron vivienda y servicios básicos (+0,7%) y transporte (+0,6%), mientras que alimentos y bebidas no alcohólicas bajaron 0,8%, siendo el principal factor de moderación mensual. La inflación subyacente —sin elementos volátiles— cayó a mínimos desde mediados de 2024, lo que redujo el temor a que el shock energético se tradujera en una inflación más persistente y dirigió la demanda hacia instrumentos de renta fija nominal.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Gobierno convoca a reunión con exportadores para abordar nuevo potencial arancel de EEUU</w:t>
      </w:r>
    </w:p>
    <w:p>
      <w:pPr>
        <w:spacing w:before="40" w:after="60"/>
        <w:ind w:left="283"/>
      </w:pPr>
      <w:r>
        <w:rPr>
          <w:rFonts w:ascii="Arial" w:hAnsi="Arial"/>
          <w:color w:val="404040"/>
          <w:sz w:val="21"/>
        </w:rPr>
        <w:t>El gobierno convocó a presidentes de los principales gremios exportadores —salmón, fruta, carne, vino y otros— a una reunión con el canciller Francisco Pérez Mackenna y la subsecretaria de RREE económicas Paula Estévez, para abordar el potencial arancel de 12,5% que la administración Trump podría imponer a productos chilenos. El USTR incluyó a Chile en un grupo de 60 economías investigadas por no prohibir ni aplicar efectivamente restricciones a importaciones elaboradas con trabajo forzoso, o por no contar con un Acuerdo de Comercio Recíproco con EEUU que incluya esta materia. El proceso de consulta pública se extiende hasta el 6 de julio, con audiencias el 7 de julio, dando margen para gestiones diplomáticas y técnicas; el objetivo de la reunión es recoger preocupaciones y propuestas del sector privado y expertos.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Adiós al viejo sistema: debutan los primeros concursos públicos para cargos de notarios</w:t>
      </w:r>
    </w:p>
    <w:p>
      <w:pPr>
        <w:spacing w:before="40" w:after="60"/>
        <w:ind w:left="283"/>
      </w:pPr>
      <w:r>
        <w:rPr>
          <w:rFonts w:ascii="Arial" w:hAnsi="Arial"/>
          <w:color w:val="404040"/>
          <w:sz w:val="21"/>
        </w:rPr>
        <w:t>Por primera vez bajo la nueva ley que modernizó el sistema de nombramientos notariales, el Ministerio de Justicia solicitó al Servicio Civil abrir concursos públicos para dos cargos vacantes: la 16ª notaría de Santiago y la Tercera Notaría de Temuco, ambas liberadas por razones de edad bajo la nueva normativa que fijó en 75 años el tope para el ejercicio del cargo y eliminó el perfil vitalicio. El proceso, que tomaría aproximadamente dos meses, incluye evaluación de conocimientos jurídicos, de administración notarial y derecho registral por un equipo multidisciplinario del Servicio Civil, con una terna final elevada al Presidente de la República. Este debut marca el fin del sistema vitalicio que caracterizó históricamente a la función notarial en Chile.</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Se acentúa el desánimo de los consumidores en mayo ante deterioro de expectativas sobre economía y el empleo</w:t>
      </w:r>
    </w:p>
    <w:p>
      <w:pPr>
        <w:spacing w:before="40" w:after="60"/>
        <w:ind w:left="283"/>
      </w:pPr>
      <w:r>
        <w:rPr>
          <w:rFonts w:ascii="Arial" w:hAnsi="Arial"/>
          <w:color w:val="404040"/>
          <w:sz w:val="21"/>
        </w:rPr>
        <w:t>El Índice de Confianza del Consumidor (CCI) de Ipsos Chile cayó 0,4 puntos en mayo hasta 40,9, perdiendo el umbral de 41 puntos y ubicando al país en el lugar 25 de 30 naciones medidas, en un contexto donde la 'luna de miel' con el nuevo gobierno ya se habría agotado según el country manager de Ipsos. El deterioro fue impulsado principalmente por el subíndice de Trabajo, que retrocedió 2,1 puntos a 42,7, en un contexto donde el 53% de los encuestados afirmó haber perdido su trabajo o conocer a alguien que lo perdió —el cuarto porcentaje más alto entre los países medidos. El subíndice de Situación Económica Actual cayó por primera vez en dos años bajo los 30 puntos (29,5), señal de alarma que contrasta con una leve mejora en las expectativas económicas futuras.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Panel UC entra al debate del registro de vándalos y rechaza su creación con pérdida de beneficios sociales</w:t>
      </w:r>
    </w:p>
    <w:p>
      <w:pPr>
        <w:spacing w:before="40" w:after="60"/>
        <w:ind w:left="283"/>
      </w:pPr>
      <w:r>
        <w:rPr>
          <w:rFonts w:ascii="Arial" w:hAnsi="Arial"/>
          <w:color w:val="404040"/>
          <w:sz w:val="21"/>
        </w:rPr>
        <w:t>El 50% de los expertos del Panel de Políticas Públicas de la UC —38,8% en desacuerdo y 11,1% muy en desacuerdo— rechazó la propuesta del presidente Kast de crear un registro de vándalos que implique pérdida de beneficios sociales como la PGU, gratuidad universitaria o subsidios habitacionales. Las principales objeciones técnicas incluyen la desproporcionalidad de las penas, el riesgo de mayor marginación de los infractores —especialmente jóvenes— en lugar de su integración, y posibles inconstitucionalidades por afectación de derechos fundamentales y el principio de igualdad. El académico Mauricio Duce señaló que la medida no tiene parangón en el derecho comparado, que la popularidad del anuncio (87% de apoyo según Cadem) no debe sustituir al debate técnico, y llamó a esperar la letra chica del proyecto antes de avanzar.</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Informe de la oposición advierte que la deuda pública superaría el 49% del PIB por efecto de la ley miscelánea</w:t>
      </w:r>
    </w:p>
    <w:p>
      <w:pPr>
        <w:spacing w:before="40" w:after="60"/>
        <w:ind w:left="283"/>
      </w:pPr>
      <w:r>
        <w:rPr>
          <w:rFonts w:ascii="Arial" w:hAnsi="Arial"/>
          <w:color w:val="404040"/>
          <w:sz w:val="21"/>
        </w:rPr>
        <w:t>Un documento elaborado por dos execonomistas de la Dipres —Nicolás Bohme y Pablo Jorquera— proyecta que la deuda bruta del gobierno podría alcanzar un máximo de 49,2% del PIB en 2030 como resultado del proyecto misceláneo, superando el límite prudente de 45% y la proyección oficial de Hacienda de 46,5%. Los autores estiman que el impacto del proyecto sobre el crecimiento sería menos de un tercio del calculado por el gobierno (0,9 puntos acumulados de PIB a 2030 versus 3,1 puntos), generando US$4.800 millones de mayor déficit, casi el triple de lo proyectado en el informe financiero oficial. El estudio también identifica omisiones metodológicas en el informe de Hacienda y la no incorporación de compromisos adicionales contraídos durante la tramitación, como la rebaja del impuesto corporativo a las PYME y reembolsos de IVA en pañales y medicamentos.</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Emprendedores plantean jornada reducida subsidiada y apoyo focalizado a la contratación</w:t>
      </w:r>
    </w:p>
    <w:p>
      <w:pPr>
        <w:spacing w:before="40" w:after="60"/>
        <w:ind w:left="283"/>
      </w:pPr>
      <w:r>
        <w:rPr>
          <w:rFonts w:ascii="Arial" w:hAnsi="Arial"/>
          <w:color w:val="404040"/>
          <w:sz w:val="21"/>
        </w:rPr>
        <w:t>La Multigremial Nacional presentó ante la mesa de reactivación laboral de David Bravo dos instrumentos alternativos al crédito tributario al empleo del gobierno: un esquema permanente de trabajo a jornada reducida subsidiado por el Estado —similar al modelo alemán y basado en la infraestructura de la AFC— para evitar despidos durante shocks transitorios, y un subsidio focalizado a la contratación de desempleados de larga duración y personas en su primer empleo formal. El costo fiscal estimado de ambas medidas oscilaría entre US$300 y US$700 millones anuales en total, y se orientaría prioritariamente a MiPYMEs con requisitos que eviten el reemplazo artificial de dotación. La propuesta surge en un contexto de desempleo de 9,1% y más de 925.000 personas desocupadas.</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Zoom entre empresas: IPC sigue marcando reajustes salariales y la recesión asoma como riesgo</w:t>
      </w:r>
    </w:p>
    <w:p>
      <w:pPr>
        <w:spacing w:before="40" w:after="60"/>
        <w:ind w:left="283"/>
      </w:pPr>
      <w:r>
        <w:rPr>
          <w:rFonts w:ascii="Arial" w:hAnsi="Arial"/>
          <w:color w:val="404040"/>
          <w:sz w:val="21"/>
        </w:rPr>
        <w:t>Una encuesta de Mercer Chile a 148 organizaciones revela que el incremento de remuneraciones total proyectado para 2026 promedia 4,8%, por encima de la inflación, con el 87% de las empresas incluyendo el IPC en sus políticas salariales —ya sea garantizándolo o presupuestando un monto cercano. Los sectores con mayores alzas proyectadas son logística (6,5%) y consumo masivo (5,7%), mientras que industrial y químico están en el extremo opuesto con 3,5% y 3,2% respectivamente, y los ajustes por mérito y mercado promedian un 5%. El 67% de las empresas encuestadas identificó la recesión económica como el principal riesgo para 2026, en un contexto de bajo crecimiento que presiona los presupuestos corporativos pese a que los incrementos salariales siguen superando la inflación.</w:t>
      </w:r>
    </w:p>
    <w:p>
      <w:pPr>
        <w:pBdr>
          <w:bottom w:val="single" w:sz="4" w:space="1" w:color="BDD7EE"/>
        </w:pBdr>
        <w:spacing w:before="80" w:after="80"/>
      </w:pPr>
    </w:p>
    <w:p>
      <w:pPr>
        <w:pStyle w:val="Heading2"/>
        <w:spacing w:before="200" w:after="80"/>
      </w:pPr>
      <w:r>
        <w:rPr>
          <w:rFonts w:ascii="Arial" w:hAnsi="Arial"/>
          <w:b/>
          <w:color w:val="2E75B6"/>
          <w:sz w:val="22"/>
        </w:rPr>
        <w:t xml:space="preserve">11.  </w:t>
      </w:r>
      <w:r>
        <w:rPr>
          <w:rFonts w:ascii="Arial" w:hAnsi="Arial"/>
          <w:b/>
          <w:color w:val="1F4E79"/>
          <w:sz w:val="22"/>
        </w:rPr>
        <w:t>Indemnización a todo evento: la promesa de campaña de Kast que se abre espacio entre empresas y sindicatos</w:t>
      </w:r>
    </w:p>
    <w:p>
      <w:pPr>
        <w:spacing w:before="40" w:after="60"/>
        <w:ind w:left="283"/>
      </w:pPr>
      <w:r>
        <w:rPr>
          <w:rFonts w:ascii="Arial" w:hAnsi="Arial"/>
          <w:color w:val="404040"/>
          <w:sz w:val="21"/>
        </w:rPr>
        <w:t>Una encuesta de la Cátedra Carlos Vial Espantoso de la UC revela que tanto gerencias de personas de grandes empresas como dirigentes sindicales ven beneficios potenciales en un sistema de indemnización a todo evento que permita acumular fondos desde el inicio del contrato y retirarlos libremente al término, independiente de la causal. Sin embargo, el principal nudo es el financiamiento: las empresas prefieren un aporte compartido entre empleador y trabajador (39,7%), mientras los sindicatos apuntan a que el costo recaiga principalmente en las empresas (35,9%), y un 35% sindical opta derechamente por mantener el sistema vigente. La viabilidad de la propuesta del gobierno también depende de lo que ocurra con el proyecto de sala cuna, ya que ambas iniciativas compiten por los recursos del Seguro de Cesantía.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Bill Gates se alista para comparecer ante el Congreso de EEUU mientras sus vínculos con Epstein persiguen a su fundación</w:t>
      </w:r>
    </w:p>
    <w:p>
      <w:pPr>
        <w:spacing w:before="40" w:after="60"/>
        <w:ind w:left="283"/>
      </w:pPr>
      <w:r>
        <w:rPr>
          <w:rFonts w:ascii="Arial" w:hAnsi="Arial"/>
          <w:color w:val="404040"/>
          <w:sz w:val="21"/>
        </w:rPr>
        <w:t>Bill Gates comparecerá ante la Comisión de Supervisión de la Cámara de Representantes de EEUU el miércoles, en medio de una crisis reputacional para su fundación de US$89 mil millones por vínculos con el fallecido agresor sexual Jeffrey Epstein, quien en 2011 fue presentado a la organización por un colaborador como un 'amigo y gurú financiero notorio por algo de mala prensa'. Una auditoría externa encargada por la propia fundación investiga una relación que se prolongó mucho más allá de los primeros contactos, involucrando a varios ejecutivos —ya retirados— en reuniones de trabajo y propuestas de financiamiento a través de estructuras tipo donor-advised fund. Warren Buffett, quien donó cerca de US$48 mil millones a la fundación entre 2006 y 2025, declaró en abril que aún no ha decidido si seguirá donando tras las revelaciones.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En reñido voto a voto se disputa la segunda vuelta presidencial de Perú entre Keiko Fujimori y Roberto Sánchez</w:t>
      </w:r>
    </w:p>
    <w:p>
      <w:pPr>
        <w:spacing w:before="40" w:after="60"/>
        <w:ind w:left="283"/>
      </w:pPr>
      <w:r>
        <w:rPr>
          <w:rFonts w:ascii="Arial" w:hAnsi="Arial"/>
          <w:color w:val="404040"/>
          <w:sz w:val="21"/>
        </w:rPr>
        <w:t>Con el 93% de las actas escrutadas en la segunda vuelta presidencial de Perú, la candidata derechista Keiko Fujimori obtenía una mínima ventaja de 50,08% frente al izquierdista Roberto Sánchez con 49,91%, en lo que los analistas describieron como un empate estadístico con resultado aún incierto. Las encuestas a boca de urna del domingo mostraron resultados contradictorios —Ipsos primero le dio ventaja a Fujimori y luego el recuento rápido mostró a Sánchez adelante—, anticipando que el conteo definitivo podría demorarse días o incluso semanas si el margen se mantiene muy estrecho. El resultado tiene implicancias regionales: una victoria de Fujimori consolidaría el giro a la derecha en América Latina, mientras que un triunfo de Sánchez implicaría revisar concesiones mineras y avanzar hacia una nueva Constitución, lo que ha generado volatilidad en los mercados financieros peruanos.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Irán cesa ataques contra Israel bajo advertencia de escalada si se vuelve a agredir a Líbano</w:t>
      </w:r>
    </w:p>
    <w:p>
      <w:pPr>
        <w:spacing w:before="40" w:after="60"/>
        <w:ind w:left="283"/>
      </w:pPr>
      <w:r>
        <w:rPr>
          <w:rFonts w:ascii="Arial" w:hAnsi="Arial"/>
          <w:color w:val="404040"/>
          <w:sz w:val="21"/>
        </w:rPr>
        <w:t>Irán anunció el lunes el cese de sus operaciones militares contra Israel, tras una serie de ataques de represalia iniciados el domingo con misiles lanzados contra el norte de Israel en respuesta a un ataque israelí sobre el sur de Beirut dirigido a Hezbolá. La Guardia Revolucionaria iraní advirtió que cualquier nuevo ataque israelí o acción hostil contra el Líbano desencadenaría una respuesta 'mucho más fuerte y contundente', mientras el presidente Pezeshkian aseguró que el país no ha abandonado las negociaciones de paz con Trump. El anuncio moderó la escalada inicial del petróleo —que llegó a subir 4,8% hasta US$97,58 el barril Brent— dejándolo con un avance más acotado de 1% en torno a US$94.</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Escalan las hostilidades en Medio Oriente pese a llamados de Trump y el petróleo sube en medio del intercambio de ataques aéros entre Israel e Irán</w:t>
      </w:r>
    </w:p>
    <w:p>
      <w:pPr>
        <w:spacing w:before="40" w:after="60"/>
        <w:ind w:left="283"/>
      </w:pPr>
      <w:r>
        <w:rPr>
          <w:rFonts w:ascii="Arial" w:hAnsi="Arial"/>
          <w:color w:val="404040"/>
          <w:sz w:val="21"/>
        </w:rPr>
        <w:t>El domingo por la noche, Irán lanzó misiles contra el norte de Israel como represalia por un ataque israelí contra el sur de Beirut dirigido a Hezbolá, marcando la primera ofensiva directa de Teherán desde el alto el fuego de abril y generando explosiones en el centro de Teherán a primera hora del lunes. Los precios del petróleo se dispararon al abrir los mercados: el Brent subió 4,8% a US$97,58 y el WTI 4,6% a US$94,70, ante el temor de que el conflicto pusiera en riesgo el proceso de paz y la reapertura del Estrecho de Ormuz, cerrado desde que EEUU e Israel atacaron a Irán por primera vez en febrero. El presidente Trump instó al cese inmediato de hostilidades en Truth Social, señalando que ambos países buscan un alto el fuego y que las negociaciones de paz siguen en marcha.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Organización versus fundador</w:t>
      </w:r>
    </w:p>
    <w:p>
      <w:pPr>
        <w:spacing w:before="40" w:after="60"/>
        <w:ind w:left="283"/>
      </w:pPr>
      <w:r>
        <w:rPr>
          <w:rFonts w:ascii="Arial" w:hAnsi="Arial"/>
          <w:color w:val="404040"/>
          <w:sz w:val="21"/>
        </w:rPr>
        <w:t>La columna analiza la crisis de OpenAI —cuando el directorio despidió a Sam Altman pero este regresó días después impulsado por el apoyo masivo de empleados— como evidencia de que la influencia simbólica y política de un fundador carismático puede superar el poder formal de las estructuras de gobernanza diseñadas para limitarlo. La autora, Consuelo Pi de Who &amp; Co., advierte que este riesgo es especialmente sensible en el ecosistema latinoamericano, donde se tiende a romantizar al fundador visionario y donde cuestionar al líder se interpreta como deslealtad, generando culturas organizacionales donde la transparencia depende más de la voluntad del líder que de procesos sólidos. La conclusión es que la conversación más urgente para startups, directorios e inversionistas no es solo cómo acelerar el crecimiento, sino cómo construir fortaleza institucional capaz de sobrevivir a sus líderes más admirados, porque cuando nadie puede decir que no, el problema ya no es liderazgo sino concentración de poder.</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UC, Esri Chile y Cenia anuncian proyectos para resguardar el patrimonio arqueológico con IA y tecnologías geoespaciales</w:t>
      </w:r>
    </w:p>
    <w:p>
      <w:pPr>
        <w:spacing w:before="40" w:after="60"/>
        <w:ind w:left="283"/>
      </w:pPr>
      <w:r>
        <w:rPr>
          <w:rFonts w:ascii="Arial" w:hAnsi="Arial"/>
          <w:color w:val="404040"/>
          <w:sz w:val="21"/>
        </w:rPr>
        <w:t>El Laboratorio de Arqueología Digital de la UC, Esri Chile y el Centro Nacional de Inteligencia Artificial (Cenia) formaron una alianza para aplicar tecnologías geoespaciales e inteligencia artificial al estudio y conservación del patrimonio arqueológico chileno, con proyectos concretos que incluyen un hub de datos en ArcGIS, análisis de geoglifos del norte mediante drones e imágenes satelitales, y reconstrucciones 3D de la cuenca de Tagua Tagua. La iniciativa, por un año prorrogable, entrenará modelos de machine learning capaces de identificar patrones difíciles de detectar visualmente en imágenes de sitios como los valles de Lluta y Azapa o el Cerro Unita —hogar del geoglifo más grande del mundo. El modelo de referencia es el proyecto colaborativo de Pompeya, donde diversas instituciones aplican sistemas de información geográfica y gemelos digitales para documentar hallazgos en tiempo real.</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Exponor y el desafío de seguir liderando en minería</w:t>
      </w:r>
    </w:p>
    <w:p>
      <w:pPr>
        <w:spacing w:before="40" w:after="60"/>
        <w:ind w:left="283"/>
      </w:pPr>
      <w:r>
        <w:rPr>
          <w:rFonts w:ascii="Arial" w:hAnsi="Arial"/>
          <w:color w:val="404040"/>
          <w:sz w:val="21"/>
        </w:rPr>
        <w:t>La columna destaca la edición 2026 de Exponor —con 1.350 expositores de 36 países en Antofagasta— como evidencia de la posición estratégica que Chile mantiene en la minería mundial, favorecida por la demanda creciente de cobre y litio impulsada por la transición energética, los data centers y la inteligencia artificial, y por la Región de Antofagasta que concentra el 40% de la cartera de inversión minera proyectada con iniciativas que superan los US$40 mil millones. Sin embargo, advierte contra la complacencia: Perú impulsa una cartera superior a US$60 mil millones y Argentina avanza aceleradamente en litio, por lo que mantener el liderazgo requiere modernizar permisos, fortalecer la certeza jurídica, desarrollar capital humano especializado e impulsar proveedores capaces de exportar tecnología. La conclusión es que las ventajas comparativas de Chile siguen vigentes, pero en una industria cada vez más competitiva, liderar exige también velocidad de acción.</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8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