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19 De Junio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bajo los $ 900 a media mañana luego de que Israel y Hezbolá acordaran un alto al fuego</w:t>
      </w:r>
    </w:p>
    <w:p>
      <w:pPr>
        <w:spacing w:before="40" w:after="60"/>
        <w:ind w:left="283"/>
      </w:pPr>
      <w:r>
        <w:rPr>
          <w:rFonts w:ascii="Arial" w:hAnsi="Arial"/>
          <w:color w:val="404040"/>
          <w:sz w:val="21"/>
        </w:rPr>
        <w:t>El dólar cayó este viernes bajo los $900, bajando $3,2 hasta $898,8 a media mañana, tras conocerse una tregua entre Israel y Hezbolá en el Líbano que abriría paso a que EEUU e Irán retomen sus conversaciones nucleares. El petróleo Brent revirtió su alza inicial y se ubicaba apenas bajo US$ 80 por barril, mientras el dollar index global retrocedía levemente tras dos sesiones de fuerte alza. La sesión previa había mostrado un salto de más de $10 en el tipo de cambio por las expectativas de un ajuste de tasas de la Reserva Federal. El mercado estadounidense permaneció cerrado por el feriado de Juneteenth, mientras en Europa las tasas soberanas subían y el cobre caía 0,6% a US$ 6,41 la libra.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mientras Enel Américas se dispara 10% tras nuevo programa de recompra de acciones</w:t>
      </w:r>
    </w:p>
    <w:p>
      <w:pPr>
        <w:spacing w:before="40" w:after="60"/>
        <w:ind w:left="283"/>
      </w:pPr>
      <w:r>
        <w:rPr>
          <w:rFonts w:ascii="Arial" w:hAnsi="Arial"/>
          <w:color w:val="404040"/>
          <w:sz w:val="21"/>
        </w:rPr>
        <w:t>La bolsa chilena abrió al alza este viernes, impulsada por la tregua entre Israel y Hezbolá y un salto de 10,1% en Enel Américas, que llegó a $82,9 tras convocar a una junta extraordinaria para el 23 de julio. La compañía busca aprobar una recompra de hasta 5% de sus acciones suscritas y pagadas en un plazo de 90 días, con un premio de hasta 15% sobre el promedio de los últimos tres meses, lo que implica un precio de hasta $91,1. El IPSA subía 0,2% a 10.858,52 puntos, secundado por Colbún (2,8%) y Andina-B (2,1%), mientras el petróleo Brent retrocedía a US$ 79,5 por barril. El mercado estadounidense permaneció cerrado por Juneteenth, en tanto las bolsas europeas mostraban resultados mixtos y el Nikkei japonés cerró en máximos históricos tras subir 7,9% en la semana.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Plataforma de financiamiento Cordada prepara estrategia de bonos securitizados de deuda privada</w:t>
      </w:r>
    </w:p>
    <w:p>
      <w:pPr>
        <w:spacing w:before="40" w:after="60"/>
        <w:ind w:left="283"/>
      </w:pPr>
      <w:r>
        <w:rPr>
          <w:rFonts w:ascii="Arial" w:hAnsi="Arial"/>
          <w:color w:val="404040"/>
          <w:sz w:val="21"/>
        </w:rPr>
        <w:t>Cordada, plataforma de financiamiento a pymes presente en Chile, Perú y México desde 2019, prepara para el tercer trimestre el lanzamiento de una estrategia de bonos securitizados respaldados por carteras de deuda privada, partiendo con una base de US$ 250 millones que espera ir creciendo de forma permanente. Según su CEO Andrés Prats, la iniciativa busca dar a la deuda privada estándares de transparencia similares a la renta fija y acceder a un mercado de capital hasta 50 veces mayor, con clasificación de riesgo doble y un custodio separado. El movimiento se da en un proceso de consolidación de la firma, que diversificó sus fuentes de financiamiento -hoy recibe aportes de Fynsa, Link Capital, LarrainVial y Toesca-Frontal Trust- y reemplazó esta semana a la administradora del FIP que la controla por Amicorp, distanciándose de su vínculo original con Frontal Trust y Andrés Echeverría.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Caso Sartor: Fiscalía cifra en hasta US$ 200 millones el perjuicio para aportantes de fondos de la AGF</w:t>
      </w:r>
    </w:p>
    <w:p>
      <w:pPr>
        <w:spacing w:before="40" w:after="60"/>
        <w:ind w:left="283"/>
      </w:pPr>
      <w:r>
        <w:rPr>
          <w:rFonts w:ascii="Arial" w:hAnsi="Arial"/>
          <w:color w:val="404040"/>
          <w:sz w:val="21"/>
        </w:rPr>
        <w:t>El fiscal de Alta Complejidad Oriente, Juan Pablo Araya, reveló que el perjuicio para los aportantes de los fondos de Sartor AGF se estima entre US$ 100 millones y US$ 200 millones, sobre una cartera administrada de aproximadamente US$ 800 millones, aunque el monto podría reducirse por la recuperación de fondos lograda tras la intervención de la CMF. El fraude se relaciona con operaciones con partes relacionadas detectadas en una investigación iniciada a fines de 2024, que en agosto reveló deterioros de hasta 85% en 10 vehículos de la gestora. En paralelo, la administradora Toesca -que recibió en agosto la liquidación de dos fondos de Sartor- anunció un primer pago de distribuciones por $4.543 millones (unos US$ 5 millones) a los aportantes de los fondos Sartor Capital Efectivo y Sartor Proyección, tras gestiones de cobranza iniciadas en septiembre de 2025.</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desafíos de los principales sectores de la industria financiera local de cara al segundo semestre</w:t>
      </w:r>
    </w:p>
    <w:p>
      <w:pPr>
        <w:spacing w:before="40" w:after="60"/>
        <w:ind w:left="283"/>
      </w:pPr>
      <w:r>
        <w:rPr>
          <w:rFonts w:ascii="Arial" w:hAnsi="Arial"/>
          <w:color w:val="404040"/>
          <w:sz w:val="21"/>
        </w:rPr>
        <w:t>La industria financiera chilena -banca, AFP, aseguradoras y fondos- enfrenta un segundo semestre cargado de desafíos regulatorios y de crecimiento, en un contexto de volatilidad de mercados y señales económicas mixtas. La banca buscará consolidar la incipiente recuperación del crédito en medio de mayores exigencias de Basilea III y un foco reforzado en prevención de lavado de activos y fraude tras la 'Operación Tokio', según ejecutivos de PwC y Deloitte. El sector previsional estará marcado por la implementación de la reforma de pensiones, con la consulta del régimen de inversión de los fondos generacionales y el traspaso del Seguro de Invalidez y Sobrevivencia al FAPP en agosto, además de la licitación del SIS que se resolverá el 3 de julio y que moviliza una prima anual cercana a US$ 1.900 millones. La industria de fondos, representada por AAFM y Acafi, se concentrará en fomentar el ahorro de largo plazo y en la modernización normativa de la CMF, incluyendo liquidez de fondos mutuos y el Sistema de Finanzas Abiertas.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Arturo Frei, gerente general de Renta 4 Corredores de Bolsa: “El IPSA debería subir, pero estará condicionado a que el dólar no sobrepase los $ 900”</w:t>
      </w:r>
    </w:p>
    <w:p>
      <w:pPr>
        <w:spacing w:before="40" w:after="60"/>
        <w:ind w:left="283"/>
      </w:pPr>
      <w:r>
        <w:rPr>
          <w:rFonts w:ascii="Arial" w:hAnsi="Arial"/>
          <w:color w:val="404040"/>
          <w:sz w:val="21"/>
        </w:rPr>
        <w:t>El gerente general de Renta 4, Arturo Frei, sostuvo en entrevista que el IPSA tiene espacio para seguir subiendo en la segunda mitad de 2026, pero condicionado a que el dólar se mantenga bajo $900 -idealmente bajo $875- y proyectó que el índice podría cerrar el año entre 12.000 y 12.500 puntos, desde los actuales 10.837 puntos. Identificó como principal driver la política monetaria de la Reserva Federal, que mantuvo su tasa entre 3,5% y 3,75% pero abrió la puerta a subirla, y estimó que el petróleo debería ubicarse entre US$ 80 y US$ 85 el barril. Entre sus recomendaciones destacó Mallplaza, Parque Arauco y Cencosud por sus flujos estables, Banco de Chile y Santander por la mayor inflación esperada, y consideró subvalorada a Latam Airlines ante la baja del crudo. Señaló como principal riesgo la trayectoria de la deuda fiscal local e internacional y llamó a la cautela frente a las altas valorizaciones de empresas de inteligencia artificial como Nvidia.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Cálculos finales: CNE publica informe definitivo por cargo de transmisión y confirma alzas en cuentas de la luz en torno a 4,9%</w:t>
      </w:r>
    </w:p>
    <w:p>
      <w:pPr>
        <w:spacing w:before="40" w:after="60"/>
        <w:ind w:left="283"/>
      </w:pPr>
      <w:r>
        <w:rPr>
          <w:rFonts w:ascii="Arial" w:hAnsi="Arial"/>
          <w:color w:val="404040"/>
          <w:sz w:val="21"/>
        </w:rPr>
        <w:t>La CNE publicó el informe definitivo sobre el cargo de transmisión, confirmando que las cuentas de electricidad subirán en promedio 4,9% a nivel nacional a partir de julio, combinando el ajuste por generación (2,1%) y el aumento del cargo de transmisión (2,8%). Según cálculos del académico Humberto Verdejo, las mayores alzas se concentrarán en el sur: 22,95% en Valdivia (de $60.057 a $73.843) y 21,33% en Puerto Montt, mientras en Santiago el incremento será de 4,46% y en el norte se registrarán incluso bajas. Un tercer factor pendiente es el pago de la deuda con las distribuidoras por la reliquidación del Valor Agregado de Distribución (VAD), que bordeaba US$ 900 millones en abril, para lo cual el gobierno enviará un proyecto de ley el lunes con miras a postergar nuevamente su cobro. La ministra de Energía, Ximena Rincón, se reunió con el Presidente Kast para definir los detalles del proyecto, que también abordará procesos tarifarios atrasados, aunque persiste la duda sobre una eventual ampliación del subsidio eléctrico.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CEO de Amipass por presunta colusión de sus competidoras: “O nos compraban o nos sacaban del mercado”</w:t>
      </w:r>
    </w:p>
    <w:p>
      <w:pPr>
        <w:spacing w:before="40" w:after="60"/>
        <w:ind w:left="283"/>
      </w:pPr>
      <w:r>
        <w:rPr>
          <w:rFonts w:ascii="Arial" w:hAnsi="Arial"/>
          <w:color w:val="404040"/>
          <w:sz w:val="21"/>
        </w:rPr>
        <w:t>El fundador y CEO de Amipass, Patricio Dueñas, acusó que sus competidoras Pluxee y Edenred -investigadas por la FNE por presunta colusión- buscaron históricamente comprar o sacar del mercado a su empresa, rechazando en al menos tres ocasiones ofertas de compra desde 2013. Sostuvo que la coordinación entre ambas firmas habría permitido fijar condiciones comerciales y repartirse licitaciones, dejando a Amipass fuera de oportunidades de negocio, y anunció que tras un fallo del TDLC evaluará acciones civiles por daños -cuyo monto calculan con peritos- y eventuales acciones penales. Afirmó que el objetivo es sentar un precedente para disuadir este tipo de conductas, que considera dañinas para grandes clientes, comercios pequeños y la confianza en el mercado en general.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Venta de participaciones mineras emerge como alternativa para enfrentar la deuda de Codelco</w:t>
      </w:r>
    </w:p>
    <w:p>
      <w:pPr>
        <w:spacing w:before="40" w:after="60"/>
        <w:ind w:left="283"/>
      </w:pPr>
      <w:r>
        <w:rPr>
          <w:rFonts w:ascii="Arial" w:hAnsi="Arial"/>
          <w:color w:val="404040"/>
          <w:sz w:val="21"/>
        </w:rPr>
        <w:t>El nuevo presidente del directorio de Codelco, Bernardo Fontaine, evalúa vender la participación de la estatal en las mineras El Abra (49%) y/o Quebrada Blanca (10%) como vía para enfrentar su deuda de US$ 25.000 millones, aunque aún no presenta la propuesta al directorio. En El Abra, valorizada en US$ 826 millones según los estados financieros de marzo, la venta se vincula a que Codelco debería aportar unos US$ 3.675 millones para mantener su porcentaje en un proyecto de expansión de US$ 7.500 millones que elevaría la producción a más de 300 mil toneladas hacia 2033. La opción de Quebrada Blanca, comprada a Enami en 2024 por US$ 520 millones y hoy valorizada en US$ 796 millones, es vista como más compleja políticamente por el riesgo de cuestionamientos desde la pequeña minería si se vende a un precio mayor. El ministro de Hacienda, Jorge Quiroz, descartó una privatización de Codelco, mientras expertos plantean alternativas como convertir la estatal en un holding o sumar capital de fondos soberanos.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Gobierno y ANEF fijan fecha para iniciar conversaciones con miras a cambios en estatuto administrativo y evaluaciones de desempeño</w:t>
      </w:r>
    </w:p>
    <w:p>
      <w:pPr>
        <w:spacing w:before="40" w:after="60"/>
        <w:ind w:left="283"/>
      </w:pPr>
      <w:r>
        <w:rPr>
          <w:rFonts w:ascii="Arial" w:hAnsi="Arial"/>
          <w:color w:val="404040"/>
          <w:sz w:val="21"/>
        </w:rPr>
        <w:t>El Ministerio del Trabajo y la ANEF iniciarán el 25 de junio una mesa de diálogo para abordar mejoras en las condiciones laborales del sector público y eventuales cambios al estatuto administrativo y a las evaluaciones de desempeño. El ministro Tomás Rau plantea discutir la conveniencia de unificar los múltiples estatutos vigentes, el rol de los cargos de confianza y la situación de los trabajadores a honorarios, además de fomentar concursos por mérito. Destacó que un 98% de aprobación en las evaluaciones de desempeño actuales amerita un rediseño de metas que impacten en la ciudadanía, mientras el presidente de la ANEF, José Pérez, valoró la instancia con un espíritu colaborativo.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Dipres desestima riesgos para la sustentabilidad del seguro de cesantía por financiamiento para proyecto de sala cuna</w:t>
      </w:r>
    </w:p>
    <w:p>
      <w:pPr>
        <w:spacing w:before="40" w:after="60"/>
        <w:ind w:left="283"/>
      </w:pPr>
      <w:r>
        <w:rPr>
          <w:rFonts w:ascii="Arial" w:hAnsi="Arial"/>
          <w:color w:val="404040"/>
          <w:sz w:val="21"/>
        </w:rPr>
        <w:t>La Dipres defendió ante la Comisión de Educación del Senado el diseño de financiamiento del proyecto de sala cuna, que se sustenta en una cotización de 0,35% de cargo del empleador compensada con una rebaja equivalente en el seguro de cesantía. El subdirector José Ignacio Llodrá explicó que, según una estimación al 2035, las cuentas individuales del seguro de cesantía se reducirían 7,4% y el fondo solidario 23,3%, sin comprometer su sustentabilidad de largo plazo. Defendió además que el nuevo fondo tenga patrimonio independiente del Fisco para evitar que sus recursos sean tratados como gasto público sujeto a la Ley de Presupuestos, y precisó que el aporte promedio mensual estimado es de UTM 5,2, aunque podría diferenciarse por región.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“Este año ya está jugado”: Corbo asegura que el crecimiento económico de este año será 1,5% o menos</w:t>
      </w:r>
    </w:p>
    <w:p>
      <w:pPr>
        <w:spacing w:before="40" w:after="60"/>
        <w:ind w:left="283"/>
      </w:pPr>
      <w:r>
        <w:rPr>
          <w:rFonts w:ascii="Arial" w:hAnsi="Arial"/>
          <w:color w:val="404040"/>
          <w:sz w:val="21"/>
        </w:rPr>
        <w:t>El expresidente del Banco Central, Vittorio Corbo, proyectó que el crecimiento económico de Chile este año se ubicará en torno a 1,5% o menos, dentro del rango de 1,0% a 1,75% que estimó el Banco Central en su IPoM, tras un primer trimestre con caída del PIB de 0,5% y una contracción en inversión y exportaciones afectada por el conflicto en Medio Oriente. Estimó la inflación a diciembre entre 3,8% y 4,2% y descartó una crisis fiscal, aunque advirtió que la velocidad de crecimiento de la deuda chilena -aún baja comparada con Brasil o Colombia- es el principal riesgo a vigilar. Valoró el proyecto de reconstrucción del gobierno por incluir desregulación, agilización de permisos y una rebaja gradual del impuesto corporativo de 27% a 23%, señalando que la clave para crecer es invertir, mejorar la productividad y acumular capital humano.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Israel y Hezbolá acuerdan renovar alto el fuego, luego que ataques en Líbano posponen inicio de conversaciones entre EEUU e Irán</w:t>
      </w:r>
    </w:p>
    <w:p>
      <w:pPr>
        <w:spacing w:before="40" w:after="60"/>
        <w:ind w:left="283"/>
      </w:pPr>
      <w:r>
        <w:rPr>
          <w:rFonts w:ascii="Arial" w:hAnsi="Arial"/>
          <w:color w:val="404040"/>
          <w:sz w:val="21"/>
        </w:rPr>
        <w:t>Israel y Hezbolá acordaron renovar el alto el fuego tras una mediación de Qatar, EEUU e Irán, después de que ataques aéreos israelíes en el sur de Líbano -que dejaron 21 muertos y 39 heridos- provocaran la suspensión de las conversaciones nucleares entre Washington y Teherán previstas para este viernes en Ginebra. El acuerdo provisional firmado el miércoles entre EEUU e Irán contempla un cese 'inmediato y permanente' de los combates, incluido en Líbano, y la extensión de la tregua durante una nueva ronda de negociaciones de 60 días sobre un acuerdo final, que incluiría restricciones al enriquecimiento de uranio iraní. El petróleo Brent cotizaba con una leve baja de 0,36% a US$ 79,57 por barril, acumulando una caída semanal de 8% ante la expectativa de reapertura del estrecho de Ormuz, aunque persisten tensiones entre EEUU e Israel por los ataques en Líbano y la oposición de sectores israelíes a abandonar el territorio.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Cuba aprueba 176 medidas para liberalizar la economía en medio de presiones de Washington</w:t>
      </w:r>
    </w:p>
    <w:p>
      <w:pPr>
        <w:spacing w:before="40" w:after="60"/>
        <w:ind w:left="283"/>
      </w:pPr>
      <w:r>
        <w:rPr>
          <w:rFonts w:ascii="Arial" w:hAnsi="Arial"/>
          <w:color w:val="404040"/>
          <w:sz w:val="21"/>
        </w:rPr>
        <w:t>La Asamblea Nacional de Cuba aprobó 176 medidas de liberalización económica en 23 áreas estratégicas, en un intento por enfrentar la crisis económica agravada por las sanciones de la administración de Donald Trump. Entre los cambios destacan la eliminación de la mayoría de los controles de precios, una mayor apertura a la inversión privada y extranjera con reglas claras de propiedad y resolución de disputas, la renegociación de deuda pública por activos nacionales y mayor autonomía para empresas estatales y gobiernos municipales. El presidente Miguel Díaz-Canel atribuyó la crisis al embargo estadounidense, mientras Naciones Unidas advirtió sobre riesgo de crisis humanitaria por el aumento de apagones y el deterioro de salud y transporte, en un contexto en que Washington exige además reformas políticas y cambios de liderazgo en la isla.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 la Espriella: el programa y equipo económico que entusiasma al mercado de cara al balotaje en Colombia</w:t>
      </w:r>
    </w:p>
    <w:p>
      <w:pPr>
        <w:spacing w:before="40" w:after="60"/>
        <w:ind w:left="283"/>
      </w:pPr>
      <w:r>
        <w:rPr>
          <w:rFonts w:ascii="Arial" w:hAnsi="Arial"/>
          <w:color w:val="404040"/>
          <w:sz w:val="21"/>
        </w:rPr>
        <w:t>Abelardo de la Espriella llega como gran favorito al balotaje presidencial de Colombia del 21 de junio, con encuestas que lo dan entre 48,6% y 52,6% de intención de voto frente a Iván Cepeda, tras ganar la primera vuelta con 38% de los votos. El mercado ha mostrado entusiasmo con su candidatura: el índice COLCAP subió cerca de 10,5% desde la primera vuelta y el CDS a 10 años del bono soberano cayó 70 puntos base, reflejando expectativas de un gobierno más ortodoxo fiscalmente, según LarrainVial Research. Su programa incluye reducción de impuestos a empresas, austeridad fiscal y desregulación, respaldado por figuras como José Manuel Restrepo -exministro de Hacienda y candidato a vicepresidente- y el economista libertario Daniel Raisbeck, aunque analistas advierten que la capacidad de ejecución de las reformas dependerá de un Congreso fragmentado y de que cerca del 90% del gasto público ya está comprometido por ley.</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Corfo abre convocatoria para startups de alto impacto que buscan llegar a nuevos mercados</w:t>
      </w:r>
    </w:p>
    <w:p>
      <w:pPr>
        <w:spacing w:before="40" w:after="60"/>
        <w:ind w:left="283"/>
      </w:pPr>
      <w:r>
        <w:rPr>
          <w:rFonts w:ascii="Arial" w:hAnsi="Arial"/>
          <w:color w:val="404040"/>
          <w:sz w:val="21"/>
        </w:rPr>
        <w:t>Corfo abrió la convocatoria 2026 de su programa Escalamiento, orientado a startups chilenas con menos de seis años de operación y ventas anuales entre $80 millones y $800 millones que busquen internacionalizarse o levantar capital privado, con postulaciones abiertas hasta el 20 de julio. El cofinanciamiento cubre hasta el 70% del costo de cada proyecto -con tope de $60 millones-, porcentaje que sube a 80% y $68,5 millones para empresas lideradas por mujeres, y busca que las seleccionadas crezcan al menos 50% en ventas y accedan a financiamiento privado. Entre los casos destacados del programa figuran Zippedi, con 200 robots operando en retail en EEUU y Europa, y Kunafoods y Retina, que aumentaron sus ventas más de 350% tras participar.</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UAI crea laboratorio de inteligencia artificial y robótica para desarrollar soluciones para industrias</w:t>
      </w:r>
    </w:p>
    <w:p>
      <w:pPr>
        <w:spacing w:before="40" w:after="60"/>
        <w:ind w:left="283"/>
      </w:pPr>
      <w:r>
        <w:rPr>
          <w:rFonts w:ascii="Arial" w:hAnsi="Arial"/>
          <w:color w:val="404040"/>
          <w:sz w:val="21"/>
        </w:rPr>
        <w:t>La Universidad Adolfo Ibáñez inauguró a fines de mayo el Physical AI Lab, un laboratorio que combina inteligencia artificial con hardware -drones, brazos robóticos y robots cuadrúpedos y hexápodos- para desarrollar soluciones en minería, agrotech, acuicultura e infraestructura crítica. El laboratorio ya cuenta con dos fondos internos de $8 millones cada uno y patrocinio de tres socios privados, y completó un piloto con Grupo Saesa para detección de anomalías en tendidos eléctricos mediante drones e informes automatizados con IA. Su director, Jorge Vásquez, indicó que ahora desarrollan un proyecto con el Centro Integrado de Operaciones de El Teniente de Codelco para centralizar información operacional y apoyar decisiones con recomendaciones de IA, y que la hoja de ruta incluye sumar nuevos socios y avanzar hacia pruebas con robots humanoides.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EEUU-Irán, la fragilidad de un acuerdo</w:t>
      </w:r>
    </w:p>
    <w:p>
      <w:pPr>
        <w:spacing w:before="40" w:after="60"/>
        <w:ind w:left="283"/>
      </w:pPr>
      <w:r>
        <w:rPr>
          <w:rFonts w:ascii="Arial" w:hAnsi="Arial"/>
          <w:color w:val="404040"/>
          <w:sz w:val="21"/>
        </w:rPr>
        <w:t>El acuerdo que puso fin -por ahora- a los enfrentamientos entre EEUU e Irán llevó al petróleo Brent a caer de casi US$ 95 a US$ 78 entre la semana pasada y este jueves, pero el editorial advierte que se trata de un memorándum de entendimiento por 60 días, lejos de un tratado de paz definitivo. Identifica tres focos de fragilidad: el programa nuclear iraní, dado que el país posee 10 toneladas de uranio enriquecido -incluidos 440 kilos cerca de pureza armamentística- sin que el acuerdo exija su destrucción; la permanencia indefinida de tropas israelíes en Líbano y Gaza, que Teherán exige retirar; y la posible imposición iraní de tarifas de navegación en el estrecho de Ormuz, rechazada por EEUU, Europa y el Golfo. Se suma la imprevisibilidad negociadora de Donald Trump y advertencias de Goldman Sachs de que la normalización del flujo de crudo por Ormuz tomará meses, por lo que la tregua aliviaría precios sin eliminar los riesgos geopolíticos y logísticos de fondo.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¿Se puede o no levantar el secreto bancario en Chile?</w:t>
      </w:r>
    </w:p>
    <w:p>
      <w:pPr>
        <w:spacing w:before="40" w:after="60"/>
        <w:ind w:left="283"/>
      </w:pPr>
      <w:r>
        <w:rPr>
          <w:rFonts w:ascii="Arial" w:hAnsi="Arial"/>
          <w:color w:val="404040"/>
          <w:sz w:val="21"/>
        </w:rPr>
        <w:t>La columna sostiene que, contrario a la percepción extendida, la legislación chilena sí permite levantar el secreto bancario cuando existe motivo fundado, como en investigaciones del Ministerio Público por narcotráfico, lavado de activos, terrorismo o delitos económicos, donde basta una solicitud fundada del fiscal para que el juez de garantía la autorice. Señala que también pueden solicitarlo la Unidad de Análisis Financiero ante operaciones sospechosas y el Servicio de Impuestos Internos ante los Tribunales Tributarios y Aduaneros, y que en la enorme mayoría de los casos los tribunales acceden a estas solicitudes. Plantea que el verdadero debate no es si se puede levantar el secreto bancario, sino si como sociedad se quiere rebajar los estándares de protección de la privacidad financiera permitiendo un acceso más amplio sin justificación suficiente.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Apuestas y moralidad del mercado</w:t>
      </w:r>
    </w:p>
    <w:p>
      <w:pPr>
        <w:spacing w:before="40" w:after="60"/>
        <w:ind w:left="283"/>
      </w:pPr>
      <w:r>
        <w:rPr>
          <w:rFonts w:ascii="Arial" w:hAnsi="Arial"/>
          <w:color w:val="404040"/>
          <w:sz w:val="21"/>
        </w:rPr>
        <w:t>La columna critica el cobro de impuestos a las apuestas en línea como una forma de normalizar una actividad que opera al margen de la ley, argumentando que el mercado y el Estado no son moralmente neutros y que gravar la ilegalidad difumina la frontera entre lo permitido y lo prohibido. Sostiene que esto contradice promesas de campaña sobre el respeto a la ley y el Estado de derecho, y que si el diagnóstico es que las apuestas en línea generan daños sociales como la ludopatía, la prioridad debiera ser hacer cumplir la norma y perseguir a quienes lucran ilegalmente, antes que capturar recaudación. El autor, del Área Legislativa de la Fundación Jaime Guzmán, cita a Joseph Ratzinger para plantear que la actividad económica requiere institucionalizarse éticamente, llamando al Ejecutivo a primero aplicar la legalidad y luego regular.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Sistema de Finanzas Abiertas: el actor que falta en la conversación</w:t>
      </w:r>
    </w:p>
    <w:p>
      <w:pPr>
        <w:spacing w:before="40" w:after="60"/>
        <w:ind w:left="283"/>
      </w:pPr>
      <w:r>
        <w:rPr>
          <w:rFonts w:ascii="Arial" w:hAnsi="Arial"/>
          <w:color w:val="404040"/>
          <w:sz w:val="21"/>
        </w:rPr>
        <w:t>La columna, desde la Asociación Insurtech de Chile, señala que el debate sobre el Sistema de Finanzas Abiertas (SFA) se ha concentrado en la banca tradicional y las fintech de pagos, dejando fuera a la industria de seguros, que opera en el ámbito de la protección y resiliencia económica de personas y pymes. Destaca que Chile lidera la penetración de seguros en Latinoamérica pero sigue por debajo del promedio OCDE, brecha que un SFA bien implementado podría reducir mediante productos más accesibles y mayor competencia. Plantea que ese impacto requiere generar confianza en el uso de datos y habilitar espacios de prueba -sandbox, portal de desarrolladores- para aseguradoras e insurtechs más pequeñas, viendo los próximos 14 meses como una oportunidad para aprovechar el nuevo marco normativo.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paradoja del diésel barato</w:t>
      </w:r>
    </w:p>
    <w:p>
      <w:pPr>
        <w:spacing w:before="40" w:after="60"/>
        <w:ind w:left="283"/>
      </w:pPr>
      <w:r>
        <w:rPr>
          <w:rFonts w:ascii="Arial" w:hAnsi="Arial"/>
          <w:color w:val="404040"/>
          <w:sz w:val="21"/>
        </w:rPr>
        <w:t>La columna señala que la caída cercana a $100 por litro en el precio del diésel, tras el cese del fuego en Medio Oriente, alivia a transportistas y consumidores pero expone la dependencia estructural de Chile de un combustible cuyo precio se define fuera de sus fronteras, afectando costos logísticos y de abastecimiento. Plantea que el desafío de fondo no son las variaciones semanales del precio sino reducir esa dependencia, destacando avances como la primera carretera eléctrica de alta potencia para camiones de Enel en la Ruta 5 Sur y la incorporación de camiones eléctricos Windrose y sistemas de refrigeración Sunswap. Concluye que las condiciones solares y eólicas de Chile pueden convertirse en una ventaja competitiva si se profundiza la electrificación del transporte y la inversión en infraestructura energética.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nueva normalidad del dólar: volatilidad estructural</w:t>
      </w:r>
    </w:p>
    <w:p>
      <w:pPr>
        <w:spacing w:before="40" w:after="60"/>
        <w:ind w:left="283"/>
      </w:pPr>
      <w:r>
        <w:rPr>
          <w:rFonts w:ascii="Arial" w:hAnsi="Arial"/>
          <w:color w:val="404040"/>
          <w:sz w:val="21"/>
        </w:rPr>
        <w:t>La columna sostiene que los fuertes movimientos recientes del dólar reflejan una volatilidad cambiaria que dejó de ser coyuntural para volverse estructural, impulsada por factores globales y locales que dificultan la planificación empresarial. Argumenta que el problema de fondo no es la magnitud de la variación del tipo de cambio sino su imprevisibilidad, lo que genera riesgos financieros para las empresas que necesitan certeza para invertir y crecer. Concluye que en una economía abierta como la chilena, la ventaja competitiva ya no radica en anticipar cada movimiento del mercado sino en estar preparado para enfrentar su volatilidad.</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19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