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22 De Septiembre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sube en la apertura y supera los 11.400 puntos encabezado por Latam en medio de las crecientes esperanzas sobre Medio Oriente</w:t>
      </w:r>
    </w:p>
    <w:p>
      <w:pPr>
        <w:spacing w:before="40" w:after="60"/>
        <w:ind w:left="283"/>
      </w:pPr>
      <w:r>
        <w:rPr>
          <w:rFonts w:ascii="Arial" w:hAnsi="Arial"/>
          <w:color w:val="404040"/>
          <w:sz w:val="21"/>
        </w:rPr>
        <w:t>La Bolsa de Santiago abrió al alza el martes, con el MSCI IPSA avanzando 0,4% hasta 11.401,69 puntos, impulsado por Latam (+1,2%) y SQM-B (+0,9%), dos papeles de alta ponderación. El motor del movimiento fue la expectativa de una desescalada entre Estados Unidos e Irán, luego de reportes que indican que Teherán ofrecería reabrir el estrecho de Ormuz en siete días si Washington alivia la presión militar y levanta el bloqueo a sus puertos, a lo que se suman gestiones sauditas para reactivar su oleoducto Este-Oeste. El alivio energético empujó al Brent a la baja 2,2% hasta US$ 98,2 por barril, lo que benefició especialmente a la aerolínea, y se replicó en Wall Street y Europa, con alzas de 0,2% a 0,5% en los principales índices. Analistas como Ole Hansen, de Saxo Bank, advirtieron que el mercado queda expuesto a un alto riesgo de titulares en ambas direcciones, ya que un rechazo estadounidense o nuevas exigencias iraníes podrían revertir rápidamente la caída del crudo.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a la baja mientras el crudo Brent pierde los US$ 100 por un mayor alivio de tensiones sobre Medio Oriente</w:t>
      </w:r>
    </w:p>
    <w:p>
      <w:pPr>
        <w:spacing w:before="40" w:after="60"/>
        <w:ind w:left="283"/>
      </w:pPr>
      <w:r>
        <w:rPr>
          <w:rFonts w:ascii="Arial" w:hAnsi="Arial"/>
          <w:color w:val="404040"/>
          <w:sz w:val="21"/>
        </w:rPr>
        <w:t>El tipo de cambio en Chile retrocedió $ 3,8 en la apertura del martes hasta $ 945,9, tras haber caído $ 10 al inicio de la semana, alejándose de los máximos anuales recientes. La baja responde al creciente optimismo sobre una distensión en Medio Oriente, que llevó al petróleo Brent a ceder 2,1% hasta US$ 98,2 por barril mientras el cobre en Londres saltaba 0,9% a US$ 6,71 la libra, muy cerca del récord de US$ 6,75 registrado dos semanas antes. Esta combinación implica una mejora significativa en los términos de intercambio para Chile, ya que abarata el principal insumo importado y encarece la principal exportación. El índice del dólar global se mantuvo estable, porque las tasas cortas estadounidenses no han logrado profundizar sus caídas ante las señales de la Reserva Federal sobre nuevas alzas del tipo rector.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BofA: Los bonos desplazan a la burbuja de IA como el mayor temor de los grandes inversionistas globales</w:t>
      </w:r>
    </w:p>
    <w:p>
      <w:pPr>
        <w:spacing w:before="40" w:after="60"/>
        <w:ind w:left="283"/>
      </w:pPr>
      <w:r>
        <w:rPr>
          <w:rFonts w:ascii="Arial" w:hAnsi="Arial"/>
          <w:color w:val="404040"/>
          <w:sz w:val="21"/>
        </w:rPr>
        <w:t>La encuesta de septiembre de Bank of America a 190 gestores que administran US$ 512 mil millones mostró que un 33% considera un alza desordenada de los rendimientos soberanos como el principal riesgo de cola, superando por primera vez en meses al temor por una burbuja de inteligencia artificial, que cayó de 32% a 28%. El giro se explica por las expectativas de política monetaria: un neto de 36% prevé tasas cortas más altas, la mayor proporción desde septiembre de 2022, y un 25% neto juzga que la política global es demasiado expansiva. Como resultado, la renta fija quedó relegada, con los encuestados subponderados en bonos en un neto de 48%, frente al 39% de agosto y la mayor apuesta en contra desde mayo de 2022, acumulando 17 meses consecutivos por debajo de sus índices de referencia. Para volver a sobreponderar deuda soberana, un 27% exigiría rendimientos más atractivos, como un 6% en el treasury a 30 años, mientras que las preocupaciones por la IA persisten en otro plano: un 42% ve el capex de los hiperescaladores como la fuente más probable de un evento sistémico de crédito, aunque un 79% no anticipa recortes de inversión este año.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cobre sube impulsado por compras chinas y el referencial en Londres bordea nuevo récord</w:t>
      </w:r>
    </w:p>
    <w:p>
      <w:pPr>
        <w:spacing w:before="40" w:after="60"/>
        <w:ind w:left="283"/>
      </w:pPr>
      <w:r>
        <w:rPr>
          <w:rFonts w:ascii="Arial" w:hAnsi="Arial"/>
          <w:color w:val="404040"/>
          <w:sz w:val="21"/>
        </w:rPr>
        <w:t>El cobre encadenó su sexta sesión consecutiva de alzas el martes, con el contrato a tres meses en la Bolsa de Metales de Londres subiendo 0,7% hasta US$ 14.770 por tonelada o US$ 6,69 la libra, tras avanzar 1% la jornada previa. El impulso provino del abastecimiento de China de cara a sus vacaciones, en un contexto de existencias en caída, demanda estacional de reposición y escasa disponibilidad al contado, factores que según Ewa Manthey, de ING, compensan la fortaleza del dólar y la incertidumbre arancelaria. El metal acumula un alza de 18% en lo que va del año, explicada sobre todo por los grandes flujos hacia Estados Unidos ante la especulación sobre aranceles al cobre refinado, y se acerca al récord histórico de US$ 14.875 por tonelada alcanzado el 10 de septiembre. En Shanghái el contrato más negociado subió 1,2% a 111.320 yuanes por tonelada, mientras los operadores aguardan la reunión de esta semana entre Donald Trump y Xi Jinping en busca de señales sobre el comercio global.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Los bancos despliegan una ofensiva para competir en créditos hipotecarios más allá de la reforma MK4</w:t>
      </w:r>
    </w:p>
    <w:p>
      <w:pPr>
        <w:spacing w:before="40" w:after="60"/>
        <w:ind w:left="283"/>
      </w:pPr>
      <w:r>
        <w:rPr>
          <w:rFonts w:ascii="Arial" w:hAnsi="Arial"/>
          <w:color w:val="404040"/>
          <w:sz w:val="21"/>
        </w:rPr>
        <w:t>Los principales bancos chilenos están desplegando estrategias diferenciadas para captar clientes hipotecarios, en paralelo a las iniciativas públicas como el subsidio a la tasa, Fogaes y el proyecto MK4 que se discute en el Congreso. BancoEstado lidera las colocaciones con su producto Hipotecario PRO, que financia hasta 90% de viviendas nuevas de hasta UF 6.000 a 30 años, seguido por Santander, que ofrece una tasa de 3,30% asociada al subsidio, y Banco de Chile e Itaú, con tasas fijas de 3,39% y 3,49% respectivamente; Banco Falabella y Banco Internacional apuestan por codeudores y por productos con dividendo reducido en los primeros años. El contexto es exigente: según la Abif, en 16 años el precio de la vivienda se cuadruplicó mientras los salarios solo se multiplicaron por 2,6, y las tasas hipotecarias pasaron de cerca de 2% antes del estallido social a alrededor de 4%. Al 19 de junio de 2026 la banca había recibido 90.480 solicitudes elegibles, con 48.990 aprobaciones comerciales y 26.948 créditos cursados, aunque el 90% de los bancos no modificó sus estándares de otorgamiento en el segundo trimestre según el Banco Central.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Rentas vitalicias: aseguradoras ya vendieron el 85% de todo lo comercializado en 2025</w:t>
      </w:r>
    </w:p>
    <w:p>
      <w:pPr>
        <w:spacing w:before="40" w:after="60"/>
        <w:ind w:left="283"/>
      </w:pPr>
      <w:r>
        <w:rPr>
          <w:rFonts w:ascii="Arial" w:hAnsi="Arial"/>
          <w:color w:val="404040"/>
          <w:sz w:val="21"/>
        </w:rPr>
        <w:t>Las compañías de seguros de vida otorgaron 50.534 rentas vitalicias entre enero y agosto de 2026, un alza de 34,2% frente a las 37.658 del mismo período de 2025, lo que equivale ya al 85,5% de todas las suscripciones del año pasado, que totalizaron 59.106. El principal factor detrás de esta expansión es la rebaja del requisito de pensión mínima dispuesta por la reforma previsional, que bajó de UF 3 a UF 2 el umbral para contratar esta modalidad. En el ranking del período, Penta Vida lideró con 11.321 suscripciones, seguida de MetLife con 9.112 y Consorcio con 6.786. José Ampuero, socio de Actuarial Consulting, proyectó que el ritmo se sostendría hasta el primer semestre de 2027, sobre todo si la cesantía sigue elevada en los segmentos de mayor edad, aunque advirtió que la rentabilidad del negocio dependerá de la disciplina de pricing, la correcta estimación de la longevidad y la gestión de inversiones a largo plazo.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Alza de tasas de la Fed reordena el escenario para las acciones del IPSA</w:t>
      </w:r>
    </w:p>
    <w:p>
      <w:pPr>
        <w:spacing w:before="40" w:after="60"/>
        <w:ind w:left="283"/>
      </w:pPr>
      <w:r>
        <w:rPr>
          <w:rFonts w:ascii="Arial" w:hAnsi="Arial"/>
          <w:color w:val="404040"/>
          <w:sz w:val="21"/>
        </w:rPr>
        <w:t>La primera alza de tasas de la Reserva Federal en más de tres años, que dejó la referencia entre 3,75% y 4%, obliga a reordenar las apuestas dentro del IPSA según el análisis de distintas corredoras consultadas por DF. Si el Banco Central mantiene la TPM en 4,5% mientras la Fed sigue subiendo, el estrechamiento del diferencial impulsaría al dólar al alza y favorecería a exportadoras como CAP, CMPC, Concha y Toro, Copec y SQM-B, que venden en dólares y gastan en pesos, actuando el tipo de cambio como un subsidio al margen operacional. En el escenario alternativo, en que el emisor local acompañe las alzas, los más golpeados serían Cencosud, Falabella, Ripley y SMU por su exposición al negocio de tarjetas, junto al sector inmobiliario, ya castigado por las tasas largas locales. Pese a la presión sobre los múltiplos y la competencia del bono del Tesoro a 10 años en torno a 5%, los analistas recuerdan que desde 1994 el IPSA cerró en positivo en 10 de los 13 años en que la Fed subió su tasa, y que el verdadero riesgo es una frenada del comercio internacional más que el costo del dinero.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Travel Security advierte que viajes corporativos al norte caen por menor actividad minera</w:t>
      </w:r>
    </w:p>
    <w:p>
      <w:pPr>
        <w:spacing w:before="40" w:after="60"/>
        <w:ind w:left="283"/>
      </w:pPr>
      <w:r>
        <w:rPr>
          <w:rFonts w:ascii="Arial" w:hAnsi="Arial"/>
          <w:color w:val="404040"/>
          <w:sz w:val="21"/>
        </w:rPr>
        <w:t>Eduardo Correa, gerente general de Travel Security, alertó que los viajes corporativos hacia ciudades mineras como Calama, Antofagasta y Copiapó muestran cifras decrecientes, una señal de alerta sobre el nivel de inversión en el país. A su juicio, el ciclo virtuoso de grandes proyectos que se encadenaban unos con otros se rompió, y hoy solo se observan ampliaciones de operaciones existentes en lugar de iniciativas nuevas, lo que arrastra a miles de contratistas y subcontratistas. Pese a ese diagnóstico y a una caída de 2,5% interanual en pasajeros reportada por la JAC en julio, la agencia elevó su utilidad 3,2% hasta $ 4.464 millones y sus ventas 5,7% hasta US$ 130 millones a junio, un desempeño explicado por el alza de tarifas aéreas: los pasajes internacionales promedio subieron cerca de 14% frente al primer semestre de 2025, tras la menor oferta de asientos de SKY y JetSmart y el efecto del precio del petróleo. Correa descartó además que la virtualidad haya sustituido los viajes de negocios, señalando que el 74% de los travel managers declara viajar tanto o más que antes, aunque las empresas hoy están más preocupadas por los costos.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Grupo Hiller vende el 50% de Movistar Arena Bogotá y sale del negocio del entretenimiento colombiano</w:t>
      </w:r>
    </w:p>
    <w:p>
      <w:pPr>
        <w:spacing w:before="40" w:after="60"/>
        <w:ind w:left="283"/>
      </w:pPr>
      <w:r>
        <w:rPr>
          <w:rFonts w:ascii="Arial" w:hAnsi="Arial"/>
          <w:color w:val="404040"/>
          <w:sz w:val="21"/>
        </w:rPr>
        <w:t>El grupo Hiller, ligado al empresario Peter Hiller y su hijo Daniel, vendió a través de su filial Venues Colombia el 50% que mantenía en Sociedad Colombiana de Escenarios, administradora del Movistar Arena de Bogotá, poniendo fin a ocho años de presencia en el mercado colombiano del espectáculo iniciada en 2018 con una inversión de US$ 25 millones junto a TuBoleta. La compradora fue la colombiana BeatHub Entertainment, matriz de TuBoleta, que ya controlaba la otra mitad del recinto; la solicitud ingresó a la Superintendencia de Industria y Comercio en junio y obtuvo aprobación a comienzos de agosto. La operación, asesorada por el banco de inversión Landmark Alantra, se enmarca en una reconfiguración mayor del negocio de entretenimiento del holding, que en diciembre pasado vendió el 51% de la concesión del actual Santander Arena a la estadounidense LiveNation y anunció el desarrollo de un nuevo recinto en Asunción, Paraguay. Según el ejecutivo Álex Rebolledo, el negocio colombiano resultaba más lento que el chileno, con un consumidor de menor poder crediticio pese al mayor tamaño del mercado.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MOP alista cambios al registro de contratistas para elevar la competencia por obras públicas</w:t>
      </w:r>
    </w:p>
    <w:p>
      <w:pPr>
        <w:spacing w:before="40" w:after="60"/>
        <w:ind w:left="283"/>
      </w:pPr>
      <w:r>
        <w:rPr>
          <w:rFonts w:ascii="Arial" w:hAnsi="Arial"/>
          <w:color w:val="404040"/>
          <w:sz w:val="21"/>
        </w:rPr>
        <w:t>El Ministerio de Obras Públicas prepara una modificación permanente al Registro de Contratistas que elevará en 75% los montos máximos de contratación de buena parte de sus categorías, tras comprobar los resultados de una excepción transitoria que expira a fines de este año. En Obras Menores, una empresa categoría A pasaría de competir por contratos de hasta 4.000 UTM a 7.000 UTM, mientras que en Obras Mayores una firma de segunda categoría saltaría de 80.000 a 140.000 UTM y una de tercera de 20.000 a 35.000 UTM; en paralelo, el respaldo financiero exigido, equivalente al 15% del tope, subirá por ejemplo de 12.000 a 21.000 UTM en segunda categoría. El director general de Obras Públicas, Joaquín Dagá, explicó que la medida busca ampliar el universo de oferentes sin relajar los estándares de solvencia, en un contexto de crisis de la construcción y riesgo de licitaciones desiertas; la experiencia previa mostró que cerca del 30% de las ofertas en concursos de segunda categoría provino de empresas de tercera. La simulación sobre 621 contratistas vigentes arrojó que 50 firmas de Obras Mayores y 44 de Obras Menores podrían bajar de categoría, aunque entre las con actividad reciente los números caen considerablemente; los nuevos rangos regirían desde el 1 de enero de 2027 con implementación gradual hasta la renovación de 2028.</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Nuevo timonel de la SMA busca reducir plazos a la mitad y centrarse en “casos grandes” de relevancia ambiental</w:t>
      </w:r>
    </w:p>
    <w:p>
      <w:pPr>
        <w:spacing w:before="40" w:after="60"/>
        <w:ind w:left="283"/>
      </w:pPr>
      <w:r>
        <w:rPr>
          <w:rFonts w:ascii="Arial" w:hAnsi="Arial"/>
          <w:color w:val="404040"/>
          <w:sz w:val="21"/>
        </w:rPr>
        <w:t>El nuevo superintendente del Medio Ambiente, Emanuel Ibarra, que asumió el 1 de septiembre tras haber trabajado casi 11 años en la institución, presentó un plan de cuatro ejes centrado en acelerar los procedimientos, fortalecer el cumplimiento ambiental, fiscalizar estratégicamente y mejorar el clima laboral interno. Su meta principal es reducir a 12 meses promedio la tramitación de los programas de cumplimiento y de los procedimientos sancionatorios de casos grandes, que hoy demoran entre 22 y 24 meses, para lo cual apunta a eliminar dobles revisiones y comités, incorporar tecnología e inteligencia artificial y archivar denuncias antiguas cuyo problema ambiental ya no esté vigente. Ibarra reconoció que un estudio de carga interna concluyó que se requiere casi el doble de funcionarios para cubrir adecuadamente las funciones del servicio. En materia de fiscalización, anunció que la SMA volverá a levantar casos de alto impacto ambiental, con foco preliminar en minería, energía, salmonicultura, áridos y casos masivos, y adelantó que aplicará deber de abstención respecto de las empresas que asesoró previamente desde un estudio de abogados, además de trabajar en un protocolo general sobre la materia.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Presidente espera reunirse con Bachelet y afirma que no apoyará a otro candidato a la ONU</w:t>
      </w:r>
    </w:p>
    <w:p>
      <w:pPr>
        <w:spacing w:before="40" w:after="60"/>
        <w:ind w:left="283"/>
      </w:pPr>
      <w:r>
        <w:rPr>
          <w:rFonts w:ascii="Arial" w:hAnsi="Arial"/>
          <w:color w:val="404040"/>
          <w:sz w:val="21"/>
        </w:rPr>
        <w:t>El Presidente José Antonio Kast, en la víspera de su intervención ante la Asamblea General de la ONU, reiteró que su gobierno no respaldó la candidatura de Michelle Bachelet a la secretaría general del organismo ni apoyará a ningún otro postulante, atribuyendo la decisión a una diferencia sobre cómo enfrentar la gobernanza de la institución. El mandatario señaló que respeta a la expresidenta en su calidad de tal, que espera poder reunirse con ella en los próximos meses y que comparten un norte común en el progreso del país. En cuanto a su agenda en Nueva York, confirmó que asistirá a la recepción oficial a los mandatarios y a un evento del llamado “Escudo de las Américas” impulsado por la Casa Blanca, aunque no hay confirmación de una bilateral con Donald Trump, que se estima difícil por la apretada agenda estadounidense. Kast vinculó el Acuerdo de Santiago en seguridad que impulsa Chile con esa iniciativa regional, enfatizando que apunta a coordinación entre países contra el crimen organizado y el narcotráfico sin afectar la soberanía de cada uno.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Vivienda anuncia plan de reactivación del empleo por US$ 200 millones para la construcción</w:t>
      </w:r>
    </w:p>
    <w:p>
      <w:pPr>
        <w:spacing w:before="40" w:after="60"/>
        <w:ind w:left="283"/>
      </w:pPr>
      <w:r>
        <w:rPr>
          <w:rFonts w:ascii="Arial" w:hAnsi="Arial"/>
          <w:color w:val="404040"/>
          <w:sz w:val="21"/>
        </w:rPr>
        <w:t>El gobierno anunciará un plan de activación de empleo enfocado en la construcción por cerca de US$ 200 millones, que se ejecutará entre ahora y diciembre y que darán a conocer los ministros de Vivienda, Iván Poduje, y del Trabajo, Tomás Rau, como anticipo de un paquete reactivador mayor. La iniciativa busca acelerar la entrega de viviendas y la ejecución de obras e incorporar nuevos proyectos mediante subsidios, con foco en canchas, parques, sedes sociales, pavimentación y viviendas en regiones, en respuesta a un desempleo de 9,5% en el trimestre móvil mayo-julio. El paquete completo, que combinará medidas administrativas y cambios legales, lo presentará el ministro de Hacienda, Jorge Quiroz, la próxima semana, tras el regreso del Presidente Kast de la ONU, y se enmarca en un Presupuesto 2027 con un alza del gasto público de 1% como máximo. La presión política aumentó desde ambos sectores: RN propuso un subsidio al empleador de unos $ 250 mil mensuales por trabajador durante 12 meses, con un costo aproximado de US$ 1.000 millones para incentivar hasta 300 mil contrataciones formales, más el fortalecimiento del Fogape, mientras la oposición conformó un equipo económico transversal tras calificar de fracaso la agenda del gobierno.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Grupo Banco Mundial alcanza récord de movilización de capital privado para países en desarrollo</w:t>
      </w:r>
    </w:p>
    <w:p>
      <w:pPr>
        <w:spacing w:before="40" w:after="60"/>
        <w:ind w:left="283"/>
      </w:pPr>
      <w:r>
        <w:rPr>
          <w:rFonts w:ascii="Arial" w:hAnsi="Arial"/>
          <w:color w:val="404040"/>
          <w:sz w:val="21"/>
        </w:rPr>
        <w:t>El Grupo Banco Mundial informó que el capital privado movilizado hacia economías en desarrollo se triplicó con creces en cuatro años, pasando de US$ 35.000 millones en 2022 a US$ 112.000 millones en el ejercicio 2026. Sumando los fondos propios de la entidad, el total de financiamiento y recursos movilizados superó ampliamente los US$ 200.000 millones. El alza fue generalizada por nivel de ingreso: los recursos hacia países de ingreso mediano bajo casi se triplicaron, de US$ 14.000 millones a US$ 37.000 millones, y en los de ingreso mediano alto se más que cuadruplicaron, de US$ 12.000 millones a US$ 50.000 millones. En contraste, la movilización hacia los países de ingreso bajo se mantuvo estancada en torno a los US$ 3.000 millones, evidenciando la dificultad persistente para atraer capital privado a las economías más vulnerables.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2027 en la voz del mundo empresarial: lo que esperan los principales gremios productivos de la economía y de la marcha sectorial</w:t>
      </w:r>
    </w:p>
    <w:p>
      <w:pPr>
        <w:spacing w:before="40" w:after="60"/>
        <w:ind w:left="283"/>
      </w:pPr>
      <w:r>
        <w:rPr>
          <w:rFonts w:ascii="Arial" w:hAnsi="Arial"/>
          <w:color w:val="404040"/>
          <w:sz w:val="21"/>
        </w:rPr>
        <w:t>Los principales gremios productivos anticipan un punto de inflexión en 2027 tras un débil 2026, alineándose con la proyección del Banco Central de un PIB en torno a 2% a 3%. La CPC, presidida por Susana Jiménez, estima un cierre de este año entre 0,6% y 0,8% y un avance cercano a 3,0% el próximo, impulsado por una inversión que crecería entre 5,2% y 5,5% gracias a mejores condiciones tributarias, agilización de permisos y medidas como la rebaja del IVA a la construcción, con una cartera 2026-2030 que supera los US$ 95 mil millones y creció 8,5% en un trimestre. Sofofa proyecta que la industria manufacturera cerrará 2026 en torno a 0% pero se recuperaría el próximo año, la CNC espera un comercio creciendo entre 2% y 3% este año con cautela sobre el rebote, y la CChC anticipa un cierre sectorial más débil tras la caída de 3,2% del segundo trimestre, aunque confía en la infraestructura minera, energética y la Ley de Reconstrucción. Los más escépticos son la SNA, que califica de prematuro comprometer una recuperación de 2% a 3% y teme una contracción silvoagropecuaria mayor al 1,8% previsto, y Sonami, cuyo presidente Jorge Riesco describió la paradoja de precios récord del cobre junto a una caída de 7,9% en la producción del primer semestre, condicionando el repunte de 2027 a destrabar proyectos e inversión privada.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Esfuerzos diplomáticos para reabrir Ormuz y puesta en marcha de oleoducto saudita impulsan caída de 2% en el petróleo</w:t>
      </w:r>
    </w:p>
    <w:p>
      <w:pPr>
        <w:spacing w:before="40" w:after="60"/>
        <w:ind w:left="283"/>
      </w:pPr>
      <w:r>
        <w:rPr>
          <w:rFonts w:ascii="Arial" w:hAnsi="Arial"/>
          <w:color w:val="404040"/>
          <w:sz w:val="21"/>
        </w:rPr>
        <w:t>El petróleo cayó alrededor de 2% el martes, con el Brent en US$ 98,2 el barril y el WTI en US$ 93,3, en su segunda jornada consecutiva de retrocesos, ante señales diplomáticas para reabrir el estrecho de Ormuz y la reactivación de un oleoducto saudita clave. Fuentes citadas por Bloomberg indicaron que Arabia Saudita realizaba pruebas en su ducto Este-Oeste con miras a reactivarlo esta misma semana y a reanudar las cargas en el puerto de Yanbu, en el Mar Rojo, en igual plazo. Un alto funcionario iraní declaró a Reuters y a Kyodo News que Teherán puede reabrir el estrecho en siete días si Estados Unidos alivia la presión militar y levanta el bloqueo a sus puertos, precisando que la propuesta fue transmitida vía mediadores el 16 de septiembre y que su delegación en Nueva York tiene plena autoridad para negociar. El secretario de Estado Marco Rubio afirmó en NBC que Washington está abierto al diálogo en el marco de la Asamblea General, donde Trump hablaba el martes y Pezeshkian lo haría el miércoles; antes de los ataques de EEUU e Israel de fines de febrero, por Ormuz circulaba una quinta parte del suministro mundial de petróleo y GNL.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Trump firmará hoy un acuerdo que mantiene a Groenlandia en manos danesas, pero amplía presencia militar de EEUU en la isla</w:t>
      </w:r>
    </w:p>
    <w:p>
      <w:pPr>
        <w:spacing w:before="40" w:after="60"/>
        <w:ind w:left="283"/>
      </w:pPr>
      <w:r>
        <w:rPr>
          <w:rFonts w:ascii="Arial" w:hAnsi="Arial"/>
          <w:color w:val="404040"/>
          <w:sz w:val="21"/>
        </w:rPr>
        <w:t>Donald Trump firmará este martes en Nueva York, junto a la primera ministra danesa Mette Frederiksen y al primer ministro groenlandés Jens-Frederik Nielsen, un acuerdo trilateral que mantiene la soberanía danesa sobre Groenlandia mientras amplía la presencia militar estadounidense en el territorio. El pacto pondría fin a la crisis diplomática desatada en enero dentro de la OTAN, cuando Trump se negó a descartar el uso de la fuerza militar o económica para adquirir la isla, rica en minerales y de alto valor estratégico entre el Ártico y América del Norte. Según fuentes de Reuters, además de la actual base espacial de Pituffik se habilitarían dos nuevas instalaciones: Narsarsuaq, antigua base aérea de la Guerra Fría, y Mestersvig, hoy usada por la unidad danesa de élite Patrulla Sirius. El canciller danés Lars Lokke Rasmussen sostuvo que el acuerdo pondrá la seguridad ártica bajo vigilancia colectiva de la OTAN; aunque implica un retroceso frente a la ambición inicial de comprar la isla de 57.000 habitantes, representa la primera expansión militar estadounidense relevante allí desde la Guerra Fría, cuando había 17 instalaciones y más de 10.000 efectivos.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Trump y Xi llevan la carrera por la IA a la mesa de negociación para contener sus riesgos</w:t>
      </w:r>
    </w:p>
    <w:p>
      <w:pPr>
        <w:spacing w:before="40" w:after="60"/>
        <w:ind w:left="283"/>
      </w:pPr>
      <w:r>
        <w:rPr>
          <w:rFonts w:ascii="Arial" w:hAnsi="Arial"/>
          <w:color w:val="404040"/>
          <w:sz w:val="21"/>
        </w:rPr>
        <w:t>Estados Unidos y China buscan establecer barandas para los riesgos de la inteligencia artificial en el marco de la visita de Xi Jinping a Washington, que incluirá una cena en la Casa Blanca con 125 invitados donde figuran Sam Altman, Jensen Huang, Satya Nadella, Cristiano Amon y Tim Cook por el lado estadounidense, y firmas como Xiaomi, Zhongji Innolight y BYD por el chino. El secretario del Tesoro, Scott Bessent, señaló que el objetivo inicial del llamado Diálogo sobre IA es abrir un canal de comunicación y aumentar la transparencia, con una posible nueva ronda en unos dos meses, probablemente en Shenzhen. Xiao Qian, de la Universidad de Tsinghua, planteó que sería irreal esperar que el diálogo elimine la competencia estratégica y propuso enfocarse en el uso malicioso de la IA por actores no estatales, riesgos cibernéticos y biológicos, y en convergencias técnicas como metodologías de evaluación y reporte de incidentes, advirtiendo que los principales obstáculos son políticos más que técnicos. Un informe del Carnegie Endowment propuso crear una línea directa de crisis específica para IA, basada en texto y atendida permanentemente por personal técnico, ante la debilidad de los canales actuales, donde el mecanismo militar exige 48 horas de aviso para concretar una llamada.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Buk lanza Luk, un portal de empleos que aspira a ser el “más completo de la región”</w:t>
      </w:r>
    </w:p>
    <w:p>
      <w:pPr>
        <w:spacing w:before="40" w:after="60"/>
        <w:ind w:left="283"/>
      </w:pPr>
      <w:r>
        <w:rPr>
          <w:rFonts w:ascii="Arial" w:hAnsi="Arial"/>
          <w:color w:val="404040"/>
          <w:sz w:val="21"/>
        </w:rPr>
        <w:t>La startup chilena de software de gestión de personas Buk lanzó Luk, un portal de empleos gratuito para las empresas que publican vacantes y que permite a los postulantes aplicar con un clic tras crear su perfil y subir su CV. El debut ocurre en un mercado laboral complejo, con una desocupación de 9,5% en Chile, y la plataforma ya opera en Chile, Perú, Colombia, México y Brasil con más de mil empresas registradas, 15 mil usuarios activos y más de 4 mil ofertas laborales. Según la cofundadora y chief revenue officer, Teresita Morán, la idea surgió hace casi dos años al observar el peso de los procesos de selección en los negocios, y la ambición es construir el portal de empleos más completo de Latinoamérica poniendo al postulante en el centro. En paralelo, Buk superó este año los US$ 100 millones en ingresos recurrentes anuales, un hito que según la ejecutiva ninguna empresa de software latinoamericana de habla hispana había alcanzado, con más de 11 mil clientes en cinco países y un crecimiento cercano al 50% anual: en Chile tiene entre 20% y 25% de participación creciendo 30%, en México ronda el 1% con expansión superior a 100%, y Brasil, con más de 30 clientes, es su mayor desafío.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Los bancos advierten que bots de IA para compras aumentan riesgos de fraude y privacidad</w:t>
      </w:r>
    </w:p>
    <w:p>
      <w:pPr>
        <w:spacing w:before="40" w:after="60"/>
        <w:ind w:left="283"/>
      </w:pPr>
      <w:r>
        <w:rPr>
          <w:rFonts w:ascii="Arial" w:hAnsi="Arial"/>
          <w:color w:val="404040"/>
          <w:sz w:val="21"/>
        </w:rPr>
        <w:t>Un grupo de bancos que incluye a NatWest, Bank of America, ING, ASB Bank y Capital One publicó un informe advirtiendo que el uso de agentes de inteligencia artificial para compras en línea eleva los riesgos de estafas, fraudes y vulneraciones de privacidad de datos. El documento señala que los consumidores se muestran entusiastas con el comercio mediante agentes, pero no tienen claro si la IA actuará en su interés, temiendo que compre productos inadecuados, gaste en exceso o pierda dinero sin saber quién responde. Entre los riesgos concretos identificados figuran que los agentes soliciten datos de tarjetas e ingresen esa información directamente en sitios web, o que orienten a los usuarios hacia métodos de pago con menor protección. La tendencia avanza rápido: la cadena británica John Lewis reportó que las búsquedas provenientes de agentes de IA subieron a 2,5% desde 0,3% el año anterior, mientras OpenAI, Anthropic, Google y Meta impulsan sus chatbots como herramientas de compra; los bancos propondrán a los reguladores exigir que se informe cuando un agente intervenga en una transacción, mayor transparencia en sus decisiones, resguardos de datos e interoperabilidad entre sistemas.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DeepSeek informará esta semana al Consejo de Seguridad de la ONU sobre IA, según fuentes</w:t>
      </w:r>
    </w:p>
    <w:p>
      <w:pPr>
        <w:spacing w:before="40" w:after="60"/>
        <w:ind w:left="283"/>
      </w:pPr>
      <w:r>
        <w:rPr>
          <w:rFonts w:ascii="Arial" w:hAnsi="Arial"/>
          <w:color w:val="404040"/>
          <w:sz w:val="21"/>
        </w:rPr>
        <w:t>La startup china DeepSeek estará entre las empresas que expondrán esta semana ante el Consejo de Seguridad de la ONU sobre los riesgos de la inteligencia artificial para la seguridad internacional, según dos fuentes citadas por Reuters. La sesión del organismo de 15 miembros está prevista para el miércoles y ocurre semanas después de que varios líderes de la industria pidieran una desaceleración coordinada del desarrollo de sistemas cada vez más potentes, advirtiendo que podrían mejorar por sí mismos y escapar al control humano. Se espera la intervención del CEO de OpenAI, Sam Altman, y de altos representantes de Anthropic, además de firmas chinas como Moonshot, aunque el fundador de DeepSeek, Liang Wenfeng, no tiene previsto asistir. El debate refleja posturas contrapuestas: el secretario general António Guterres advirtió que los riesgos no pueden ignorarse, mientras Donald Trump sostiene que las salvaguardas existentes bastan, y los medios estatales chinos han descalificado los llamados a frenar el desarrollo como un manual de la Guerra Fría para preservar el dominio tecnológico de Washington; en paralelo, Scott Bessent informó que ambos gobiernos acordaron nuevas conversaciones sobre seguridad en IA.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Ley de Protección de Datos podría frenar la investigación en salud y afectar la gestión sanitaria</w:t>
      </w:r>
    </w:p>
    <w:p>
      <w:pPr>
        <w:spacing w:before="40" w:after="60"/>
        <w:ind w:left="283"/>
      </w:pPr>
      <w:r>
        <w:rPr>
          <w:rFonts w:ascii="Arial" w:hAnsi="Arial"/>
          <w:color w:val="404040"/>
          <w:sz w:val="21"/>
        </w:rPr>
        <w:t>Expertos advirtieron que la entrada en vigencia de la Ley de Protección de Datos Personales, fijada para el 1 de diciembre próximo, podría frenar la investigación clínica y la gestión sanitaria si la Agencia de Protección de Datos no está constituida ni existe un reglamento con criterios claros. Aunque el artículo 16 bis contempla excepciones para tratar datos de salud sin consentimiento —protección de la vida, alertas sanitarias, investigaciones de interés público y gestión de servicios asistenciales—, el exministro de Salud e investigador de Clapes UC, Jaime Mañalich, sostuvo que esas salvedades no son suficientemente claras y anticipó una hiperjudicialización, agravada por la exigencia de certificar que los países receptores de datos cumplen la normativa chilena, lo que desincentivaría la investigación multicéntrica en Chile. El CEO de Rayen Salud, José Fernández, señaló que el problema no es el diseño sino la implementación, y que sin criterios definidos hospitales y comités de ética podrían exigir consentimiento por precaución, generando parálisis; agregó que la anonimización irreversible que exige la ley es muy difícil de lograr, ya que una fecha de atención, una comuna pequeña o un diagnóstico infrecuente bastan para reidentificar a una persona. El Ejecutivo ingresó hace tres semanas un proyecto para postergar la vigencia hasta diciembre de 2027 y ampliar de tres a cinco los miembros del Consejo Directivo de la agencia, pero aún no está en la agenda del Senado.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Alza frutícola versus recesión minera</w:t>
      </w:r>
    </w:p>
    <w:p>
      <w:pPr>
        <w:spacing w:before="40" w:after="60"/>
        <w:ind w:left="283"/>
      </w:pPr>
      <w:r>
        <w:rPr>
          <w:rFonts w:ascii="Arial" w:hAnsi="Arial"/>
          <w:color w:val="404040"/>
          <w:sz w:val="21"/>
        </w:rPr>
        <w:t>La columna contrasta el desempeño de dos sectores exportadores clave: mientras el ministro de Hacienda, Jorge Quiroz, calificó a 2026 como un año de gran recesión en el cobre, la fruticultura cerró la temporada 2025-2026 exportando 3.021.216 toneladas, un 6,8% más que el año previo, por US$ 8.198,8 millones. Según Cochilco, la producción de cobre cayó 7% entre enero y julio y en el primer semestre el país produjo 2,48 millones de toneladas, un 6,6% menos que en 2025, con Codelco, Escondida y Spence explicando el 91% de esa baja, atribuida a años de baja inversión, yacimientos envejecidos y menores leyes de mineral, con un impacto estimado de cerca de un punto porcentual en el PIB. La fruta, en cambio, sorteó el arancel de 12,5% impuesto por Estados Unidos, mercado que concentra el 30% de sus volúmenes: kiwis, paltas y naranjas quedaron exentos, mientras uva, arándanos, cerezas y otros siguen esperando exclusión, respaldados por el argumento gremial de que 19.500 empleos directos y US$ 4 mil millones en la cadena logística estadounidense dependen de esos embarques. Pese a una contracción de 10% en Asia, India creció 36% y se consolidó como segundo destino regional, lo que vuelve estratégico cerrar el acuerdo CEPA comprometido para antes de fin de año frente a competidores como Australia.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22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