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 De Julio De 2026</w:t>
      </w:r>
    </w:p>
    <w:p>
      <w:pPr>
        <w:jc w:val="center"/>
      </w:pPr>
      <w:r>
        <w:rPr>
          <w:rFonts w:ascii="Arial" w:hAnsi="Arial"/>
          <w:color w:val="999999"/>
          <w:sz w:val="20"/>
        </w:rPr>
        <w:t>6 secciones  ·  26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 chilena sube por cuarta sesión y el IPSA se acerca a 10.900 puntos de la mano con nuevas ganancias de SQM</w:t>
      </w:r>
    </w:p>
    <w:p>
      <w:pPr>
        <w:spacing w:before="40" w:after="60"/>
        <w:ind w:left="283"/>
      </w:pPr>
      <w:r>
        <w:rPr>
          <w:rFonts w:ascii="Arial" w:hAnsi="Arial"/>
          <w:color w:val="404040"/>
          <w:sz w:val="21"/>
        </w:rPr>
        <w:t>Por el contrario, las plazas extranjeras perdían terreno. El presidente de la Fed, Kevin Warsh, no entregó mayores señales sobre las próximas decisiones de tasas de la entidad, mientras participaba en el foro anual de bancos centrales en Sintra, Portugal. La bolsa chilena aspiraba a una nueva jornada de recuperación este miércoles, de la mano con los avances de SQM, y mientras las plazas de los mercados desarrollados se encontraban a la baja. El S&amp;P IPSA chileno subía 0,5% a 10.893,88 puntos, después de cerrar unatercera sesión consecutiva al alza, de vuelta de un fin de semana largo en Chile.SQM-B (1,8%)le entregaba nuevamente un buen respaldo, después de que el cabonato de litiospotpusiera freno a su racha de caídas, con un repunte de 2,7% en la jornada asiática.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AGF de Itaú mueve la grúa y ficha a exBanchile como nuevo gerente general</w:t>
      </w:r>
    </w:p>
    <w:p>
      <w:pPr>
        <w:spacing w:before="40" w:after="60"/>
        <w:ind w:left="283"/>
      </w:pPr>
      <w:r>
        <w:rPr>
          <w:rFonts w:ascii="Arial" w:hAnsi="Arial"/>
          <w:color w:val="404040"/>
          <w:sz w:val="21"/>
        </w:rPr>
        <w:t>La institución financiera informó que Andrés Manetti asumirá el cargo a partir del 20 de julio. Laadministradora general de fondos (AGF) de Itaú en Chileinformó sobre un fichaje proveniente de otra de las gestoras del medio local. Durante la tarde del martes, anunció al reemplazante de su exgerente general, Brian Chase, quien dejó la firma a finales abril. A través de un hecho esencial enviado este miércoles a la Comisión para el Mercado Financiero (CMF), la firma informó que Andrés Manetti asumirá el cargo a partir del 20 de julio.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Bci mejora recomendación de SQM a "sobreponderar" y proyecta retorno de 25,5%</w:t>
      </w:r>
    </w:p>
    <w:p>
      <w:pPr>
        <w:spacing w:before="40" w:after="60"/>
        <w:ind w:left="283"/>
      </w:pPr>
      <w:r>
        <w:rPr>
          <w:rFonts w:ascii="Arial" w:hAnsi="Arial"/>
          <w:color w:val="404040"/>
          <w:sz w:val="21"/>
        </w:rPr>
        <w:t>La corredora fijó un precio objetivo de $ 83.000 por acción hacia 2027. Bci Corredor de Bolsa mejoró su visión sobre SQMy elevó su recomendación desde "neutral" a "sobreponderar", con un precio objetivo de $ 83.000 por acción hacia 2027. Eltargetsupone un retorno esperado total de 25,5%, que combina unupsidede 21,3% en el precio frente al cierre de $ 68.450 del 30 de junio y un retorno por dividendos de 4,2%.</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En medio del avance de la digitalización, una mayoría de los chilenos prefiere que el pago en efectivo se mantenga como alternativa</w:t>
      </w:r>
    </w:p>
    <w:p>
      <w:pPr>
        <w:spacing w:before="40" w:after="60"/>
        <w:ind w:left="283"/>
      </w:pPr>
      <w:r>
        <w:rPr>
          <w:rFonts w:ascii="Arial" w:hAnsi="Arial"/>
          <w:color w:val="404040"/>
          <w:sz w:val="21"/>
        </w:rPr>
        <w:t>Según un sondeo de Denaria y la Universidad del Desarrollo (UDD), los adultos mayores y los hogares de menores ingresos continúan dependiendo en mayor medida del uso de plata física. Pese al avance de los medios de pago digitales en Chile,el uso del efectivo mantiene un respaldo transversal entre la población,de acuerdo con un estudio elaborado por la Universidad del Desarrollo (UDD) y Denaria Chile. El estudio dio cuenta que el 92% de las 1.000 personas encuestadas considera que la plata física debe seguir existiendo como alternativa de pago.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Dólar sube y alcanza los $ 930 en la apertura mientras compras globales coinciden con la contracción del Imacec en mayo</w:t>
      </w:r>
    </w:p>
    <w:p>
      <w:pPr>
        <w:spacing w:before="40" w:after="60"/>
        <w:ind w:left="283"/>
      </w:pPr>
      <w:r>
        <w:rPr>
          <w:rFonts w:ascii="Arial" w:hAnsi="Arial"/>
          <w:color w:val="404040"/>
          <w:sz w:val="21"/>
        </w:rPr>
        <w:t>Agentes extranjeros reforzaron con US$ 2.300 millones su posición en derivados de tipos de cambio la semana pasada, llevándola a superar los US$ 13.200 millones netos contra el peso chileno. El dólar abrió al alza este miércoles, presionado por los adversos diferenciales de tasas de interés entre Chile y Estados Unidos, especialmente después de queel último Imacec alimentara la discusión sobre una posible recesión técnica. La divisa subía $ 6,8 hasta los $ 930 en las primeras transacciones de la jornada, después de haberescalado más de $ 30 en junio, según los datos de Bloomberg, principalmente debido a la postura restrictiva de la Reserva Federal (Fed).</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Acafi: industria de fondos de inversión creció en primer trimestre impulsada por aportes netos</w:t>
      </w:r>
    </w:p>
    <w:p>
      <w:pPr>
        <w:spacing w:before="40" w:after="60"/>
        <w:ind w:left="283"/>
      </w:pPr>
      <w:r>
        <w:rPr>
          <w:rFonts w:ascii="Arial" w:hAnsi="Arial"/>
          <w:color w:val="404040"/>
          <w:sz w:val="21"/>
        </w:rPr>
        <w:t>“El crecimiento actual no está siendo gatillado por cambios regulatorios, sino por la propia maduración de la industria y por decisiones de inversión más sofisticadas”, alertó el gremio del sector. Los fondos de inversión continuaron su senda de crecimiento durante el primer trimestre del año. De acuerdo con la Asociación Chilena de Administradoras de Fondos de Inversión (Acafi), el negocio alcanzó US$ 45.239 millones en activos administrados a marzo de 2026 a través de 908 fondos, con un crecimiento de 20% respecto del cierre de los primeros tres meses del año pasado.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Holding regional Empresas Beach alista inversiones por US$ 4,5 millones en un strip center, un complejo turístico y un supermercado en el Gran Concepción</w:t>
      </w:r>
    </w:p>
    <w:p>
      <w:pPr>
        <w:spacing w:before="40" w:after="60"/>
        <w:ind w:left="283"/>
      </w:pPr>
      <w:r>
        <w:rPr>
          <w:rFonts w:ascii="Arial" w:hAnsi="Arial"/>
          <w:color w:val="404040"/>
          <w:sz w:val="21"/>
        </w:rPr>
        <w:t>El grupo liderado por Jaime Eriz actualmente opera 17 puntos de venta entre Biobío y Ñuble. Además de supermercados, ferreterías y multitiendas tiene presencia en los negocios inmobiliario, transporte, restaurantes y hotelería. Factura alrededor de US$ 17 millones y proyecta un crecimiento de 5% este año y 10% en 2027. La historia deEmpresas Beach comenzó en 1990, cuando su fundador,JaimeEriz, invirtió el equivalente actual a $ 1 millones ahorrados como obrero forestal para abrir un pequeño local de 30 metros cuadrados (m2) en la localidad de Ranguelmo, comuna de Coelemu, Ñuble. Con apenas 20 años y mientras estudiaba Ingeniería Civil Industrial en la Universidad de Concepción, transformó ese modesto espacioen un centro de servicios múltiples que incluía supermercado, paquetería, telefonía y pago de cuentas para los cerca de 1.000 habitantes del sector rural. "Mi gran fortaleza en el crecimiento de ese negocio fue entender que yo podía resolver muchas necesidades", relata.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Seremi de OOPP aborda dudas por licitación de cárcel de Calama: “Ha existido alto interés por participar lo que asegura un proceso competitivo”</w:t>
      </w:r>
    </w:p>
    <w:p>
      <w:pPr>
        <w:spacing w:before="40" w:after="60"/>
        <w:ind w:left="283"/>
      </w:pPr>
      <w:r>
        <w:rPr>
          <w:rFonts w:ascii="Arial" w:hAnsi="Arial"/>
          <w:color w:val="404040"/>
          <w:sz w:val="21"/>
        </w:rPr>
        <w:t>El seremi de Obras Públicas de Antofagasta, José Fuentes, aseguró que revisarán “de manera minuciosa y rigurosa” los antecedentes legales, financieros y técnicos de cada postulante, tras las alertas levantadas por la situación financiera de una de las firmas interesadas en el proyecto, que considera una inversión de US$ 381 millones y tiene capacidad para 1.850 internos. El seremi de Obras Públicas de Antofagasta José Fuentes, abordó las dudas surgidas en torno a la solidez de las empresas interesadas en la licitación del nuevo Centro Penitenciario de Calama, una de las principales obras concesionadas previstas para la Región de Antofagasta. El tema se abrió luego de cuestionamientos por la participación de Obrascon Huarte Lain, OHLA, firma española vinculada a OHL Industrial Chile, filial que enfrenta un proceso de liquidación voluntaria, además de deudas y demandas judiciales. Frente a ese escenario,la autoridad aseguró que la evaluación de los oferentes se realizará bajo criterios legales, financieros y técnicos y que la Comisión Evaluadora revisará “de manera minuciosa y rigurosa” los antecedentes de cada postulante.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“Vienen nuevos competidores”: Subtel anticipa la llegada de rivales para Starlink en mercado satelital chileno</w:t>
      </w:r>
    </w:p>
    <w:p>
      <w:pPr>
        <w:spacing w:before="40" w:after="60"/>
        <w:ind w:left="283"/>
      </w:pPr>
      <w:r>
        <w:rPr>
          <w:rFonts w:ascii="Arial" w:hAnsi="Arial"/>
          <w:color w:val="404040"/>
          <w:sz w:val="21"/>
        </w:rPr>
        <w:t>Romina Garrido adelantó en DF al Cierre que ya se habilitaron dos bandas de espectro para este tipo de conexiones. Este martes fue el turno dela subsecretaria de Telecomunicaciones, Romina Garrido, de asistir como entrevistada al programa DF al Cierre, donde la abogada realizó un repaso por lo que han sido estos primeros 100 días liderando el organismo y los desafíos que observa dentro de la industria. La autoridad enfatizó que una de las tareas más desafiantes dentro de la cartera esentregar y garantizar conectividad a las personas que viven en los lugares más aislados del país, en aquellas zonas rurales donde “se siente mucho más intensa esa falta de conectividad”.</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Paltas de Chile ante boom del consumo en Argentina: “Puede ser para nosotros como EEUU para México”</w:t>
      </w:r>
    </w:p>
    <w:p>
      <w:pPr>
        <w:spacing w:before="40" w:after="60"/>
        <w:ind w:left="283"/>
      </w:pPr>
      <w:r>
        <w:rPr>
          <w:rFonts w:ascii="Arial" w:hAnsi="Arial"/>
          <w:color w:val="404040"/>
          <w:sz w:val="21"/>
        </w:rPr>
        <w:t>El presidente ejecutivo de Paltas de Chile, Francisco Contardo, enfatiza que “la palta chilena es la mejor del mundo tanto en sabor, calidad y sustentabilidad”. Francisco Contardo, presidente ejecutivo Paltas de Chile. La industria de la palta chilena se encuentra en pleno levantamiento de información para proyectar la temporada 2026/2027.Y si bien esas expectativas no se han traspasado a cifras aún, los últimosdos períodos han sido tan buenosque todo indica que se trata de un nuevo punto de partida.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Presidente del SEP: ineficiencia de las empresas públicas la “termina pagando” el contribuyente</w:t>
      </w:r>
    </w:p>
    <w:p>
      <w:pPr>
        <w:spacing w:before="40" w:after="60"/>
        <w:ind w:left="283"/>
      </w:pPr>
      <w:r>
        <w:rPr>
          <w:rFonts w:ascii="Arial" w:hAnsi="Arial"/>
          <w:color w:val="404040"/>
          <w:sz w:val="21"/>
        </w:rPr>
        <w:t>El Sistema de Empresas Públicas (SEP) realizó una jornada de inducción dirigida a los presidentes, vicepresidentes y directores de las compañías que integran su portafolio, con el objetivo de alinear las directrices corporativas y reforzar la gestión estratégica de las firmas estatales. El encuentro contó con la presencia del director de Presupuestos, José Pablo Gómez, además de exposiciones y de un representante de la Organización para la Cooperación y el Desarrollo Económicos (OCDE). El presidente del consejo directivo del SEP, Felipe Morandé, hizo hincapié en el uso eficiente de los recursos. “Nuestra responsabilidad exige fijar metas altamente exigentes en gestión y planificación estratégica. Si una empresa del Estado no funciona bajo estrictos criterios de viabilidad, austeridad y control fiscal, las brechas y los déficit los termina pagando el contribuyente a través de sus impuestos. Esa es una carga reputacional y ética que no nos podemos permitir”, sostuvo Morandé.</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Casos presentados ante la Defensoría del Contribuyente se disparan este año y a junio ya casi igualan todo 2025</w:t>
      </w:r>
    </w:p>
    <w:p>
      <w:pPr>
        <w:spacing w:before="40" w:after="60"/>
        <w:ind w:left="283"/>
      </w:pPr>
      <w:r>
        <w:rPr>
          <w:rFonts w:ascii="Arial" w:hAnsi="Arial"/>
          <w:color w:val="404040"/>
          <w:sz w:val="21"/>
        </w:rPr>
        <w:t>El director nacional, Ricardo Pizarro, realiza un balance de los casi cinco años del organismo, luego de que la Ley de Cumplimiento Tributario le diera mayores atribuciones. Uno de los grandes legados que dejó la Ley de Modernización Tributaria, aprobada a inicios de 2020, fue lacreación de un nuevo organismo a cargo de la asesoría y protección de los contribuyentes, con foco específico en personas vulnerables y pequeñas y medianas empresas. Así, el 15 de noviembre del 2021 comenzó a funcionar laDefensoría del Contribuyente (Dedecon), entidad que busca ser un contrapeso a las actuaciones del Servicio de Impuestos Internos (SII), la Tesorería General de la República (TGR) y el Servicio Nacional de Aduanas en su relación diaria con Pymes y personas.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Imacec: actividad económica cae en mayo y encadena cinco retrocesos consecutivos</w:t>
      </w:r>
    </w:p>
    <w:p>
      <w:pPr>
        <w:spacing w:before="40" w:after="60"/>
        <w:ind w:left="283"/>
      </w:pPr>
      <w:r>
        <w:rPr>
          <w:rFonts w:ascii="Arial" w:hAnsi="Arial"/>
          <w:color w:val="404040"/>
          <w:sz w:val="21"/>
        </w:rPr>
        <w:t>El indicador se contrajo 0,9% comparado con el mismo mes del año pasado. El resultado se explicó por una menor producción minera. El Indicador Mensual de Actividad Económica (Imacec) anotó una caída de 0,9% en mayo, en comparación al mismo mes del año anterior,en una contracción que sigueal deterioro del desempeño de los distintos sectores durante el mes pasado. Así lo informó esta mañana el Banco Central, qué además señaló que la serie desestacionalizada se contrajo 0,2% respecto del mes precedente y 0,7% en 12  meses. El mes registró un día hábil menos que mayo de 2025.</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Desempleo llega a su mayor nivel en cinco años y presiona la meta del gobierno</w:t>
      </w:r>
    </w:p>
    <w:p>
      <w:pPr>
        <w:spacing w:before="40" w:after="60"/>
        <w:ind w:left="283"/>
      </w:pPr>
      <w:r>
        <w:rPr>
          <w:rFonts w:ascii="Arial" w:hAnsi="Arial"/>
          <w:color w:val="404040"/>
          <w:sz w:val="21"/>
        </w:rPr>
        <w:t>De acuerdo con el INE, el crecimiento anual de la ocupación, de apenas 0,8%, volvió a explicarse exclusivamente por la informalidad. Las primeras cifras laborales que reflejan completamente el período desde el inicio del gobierno del Presidente José Antonio Kast dejaron un diagnóstico poco alentadorpara uno de los principales objetivos de la administración: reducir la tasa de desempleo hasta 6,5% al cierre de su mandato. Este martes el Instituto Nacional de Estadísticas (INE) informó quela tasa de desocupación llegó a 9,4% durante el trimestre móvil marzo-mayo, 0,5 punto porcentual por sobre igual período del año pasado y lo más alto desde abril-junio 2021. Con ello, el número de personas desocupadas llegó hasta 981.315, equivalente a 63.392 más que hace un año.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¿Surte efecto el recorte fiscal? El gasto público se modera en mayo, aunque también caen los ingresos</w:t>
      </w:r>
    </w:p>
    <w:p>
      <w:pPr>
        <w:spacing w:before="40" w:after="60"/>
        <w:ind w:left="283"/>
      </w:pPr>
      <w:r>
        <w:rPr>
          <w:rFonts w:ascii="Arial" w:hAnsi="Arial"/>
          <w:color w:val="404040"/>
          <w:sz w:val="21"/>
        </w:rPr>
        <w:t>Como resultado, el déficit fiscal se mantuvo en 2,5% del PIB en los últimos 12 meses, según el reporte de la Dipres. El ministro de Hacienda, Jorge Quiroz, junto al director de Presupuestos, José Pablo Gómez. Foto: Aton. El resultado de la ejecución presupuestaria del sector público en mayo pareciera comenzar a reflejar el impacto de los millonarios recortes de gasto que está llevando a cabo la administración de José Antonio Kast, que al quinto mes de este año ya totalizaban cerca de US$ 2.000 millones, con una meta de llegar a US$ 6.000 millones de ajuste en un lapso de 18 meses.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Warsh debuta ante la banca central mundial y afirma que los “precios están demasiado altos” en EEUU</w:t>
      </w:r>
    </w:p>
    <w:p>
      <w:pPr>
        <w:spacing w:before="40" w:after="60"/>
        <w:ind w:left="283"/>
      </w:pPr>
      <w:r>
        <w:rPr>
          <w:rFonts w:ascii="Arial" w:hAnsi="Arial"/>
          <w:color w:val="404040"/>
          <w:sz w:val="21"/>
        </w:rPr>
        <w:t>El nuevo presidente de la Fed participó este miércoles en un foro del Banco Central Europeo en Portugal, evitando dar una guía clara sobre la decisión de tasas de julio. El nuevopresidente de la Reserva Federal, Kevin Warsh, hizo su estreno este miércoles ante la banca central mundial en el foro en Sitra, Portugal, organizado por elBanco Central Europeo, participando de un panel junto a la anfitriona, Christine Lagarde, el gobernador del Banco de Inglaterra, Andrew Bailey, y el del Banco de Canadá, Tiff Macklem. En la instancia, el líder de la Fed planteó que"todos hemos observado que los precios están demasiado altos",destacando la misión de controlar la inflación en el marco del creciente optimismo sobre los avances impulsados por la inteligencia artificial en el lado de la oferta de la economía.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Aunque consideró la guerra total con Irán, Trump opta por evitar nueva escalada en medio de avance de las negociaciones</w:t>
      </w:r>
    </w:p>
    <w:p>
      <w:pPr>
        <w:spacing w:before="40" w:after="60"/>
        <w:ind w:left="283"/>
      </w:pPr>
      <w:r>
        <w:rPr>
          <w:rFonts w:ascii="Arial" w:hAnsi="Arial"/>
          <w:color w:val="404040"/>
          <w:sz w:val="21"/>
        </w:rPr>
        <w:t>El mandatario estadounidense comunicó que no le preocupa si el diálogo con Teherán se extienden más allá del plazo del 18 de agosto. El Presidente de Estados Unidos, Donald Trump,consideró la guerra total con Irán en el marco del más reciente intercambio de agresiones, perodecidió no reanudar una campaña militar de gran escala contra Irán,considerando suficiente autorizar ataques puntuales cuando sea necesario. Así lo consignó Wall Street Journal, que -citando a funcionarios estadounidenses- agregó que el mandatario no quiere obstaculizar el proceso diplomático e incluso comunicó a su equipo queno le preocupa si las negociaciones se extienden más allá del 18 de agosto,plazo estipulado en el memorándum de entendimiento para que ambas naciones sellen un acuerdo de paz permanente.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BYD se apresta a recuperar el liderazgo mundial frente a Tesla en ventas de automóviles totalmente eléctricos</w:t>
      </w:r>
    </w:p>
    <w:p>
      <w:pPr>
        <w:spacing w:before="40" w:after="60"/>
        <w:ind w:left="283"/>
      </w:pPr>
      <w:r>
        <w:rPr>
          <w:rFonts w:ascii="Arial" w:hAnsi="Arial"/>
          <w:color w:val="404040"/>
          <w:sz w:val="21"/>
        </w:rPr>
        <w:t>El fabricante del modelo Dolphin entregó 557.090 vehículos eléctricos de batería durante el trimestre finalizado en junio. BYD superó a Tesla por primera vez en el cuarto trimestre de 2024 y mantuvo una ventaja significativa durante 2025. (Foto: Bloomberg) BYD Co. está a punto de arrebatarle a Tesla Inc. el título de mayor vendedor mundial de automóviles totalmente eléctricos,a medida que el fabricante chino aumenta sus envíos de vehículos al extranjero.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Bolivia estrena nuevo régimen cambiario y deja atrás 15 años de tipo de cambio fijo</w:t>
      </w:r>
    </w:p>
    <w:p>
      <w:pPr>
        <w:spacing w:before="40" w:after="60"/>
        <w:ind w:left="283"/>
      </w:pPr>
      <w:r>
        <w:rPr>
          <w:rFonts w:ascii="Arial" w:hAnsi="Arial"/>
          <w:color w:val="404040"/>
          <w:sz w:val="21"/>
        </w:rPr>
        <w:t>La modificación sinceró el valor del dólar, aunque el déficit fiscal amenaza con seguir presionando la moneda. Luego de más de tres años de escasez de divisas, que derivaron en restricciones para acceder a dólares por los canales oficiales y en la expansión del mercado paralelo, Bolivia inició esta semana el mayor giro en su política cambiaria desde 2011. Desde este lunes dejó atrás el esquema de tipo de cambio fijo, que durante 15 años mantuvo la cotización en 6,86 bolivianos para la compra y 6,96 bolivianos para la venta, y comenzó a operar bajo un régimen de flexibilización.</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EEUU levanta las restricciones sobre el modelo de IA Fable 5 de Anthropic</w:t>
      </w:r>
    </w:p>
    <w:p>
      <w:pPr>
        <w:spacing w:before="40" w:after="60"/>
        <w:ind w:left="283"/>
      </w:pPr>
      <w:r>
        <w:rPr>
          <w:rFonts w:ascii="Arial" w:hAnsi="Arial"/>
          <w:color w:val="404040"/>
          <w:sz w:val="21"/>
        </w:rPr>
        <w:t>El Departamento de Comercio había impuesto una norma de control de exportaciones mediante una carta privada el 12 de junio que obligaba a la empresa a obtener autorización de Estados Unidos antes de permitir que cualquier ciudadano extranjero, sin importar su ubicación. El gobierno de Estados Unidos eliminó las restricciones de acceso para extranjeros al modelo de inteligencia artificial Fable 5 de Anthropic PBC, allanando el camino para una distribución más amplia después de que la startup resolviera las preocupaciones de seguridad de la administración del Presidente Donald Trump. Anthropic informó el martes en la noche en X que recibió la notificación de que el Departamento de Comercio levantaría las restricciones de acceso a ambos modelos. Algunas de las limitaciones sobre Mythos ya habían sido flexibilizadas el 26 de junio.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Equipo de la PUCV crea plataforma para mejorar la gestión pesquera</w:t>
      </w:r>
    </w:p>
    <w:p>
      <w:pPr>
        <w:spacing w:before="40" w:after="60"/>
        <w:ind w:left="283"/>
      </w:pPr>
      <w:r>
        <w:rPr>
          <w:rFonts w:ascii="Arial" w:hAnsi="Arial"/>
          <w:color w:val="404040"/>
          <w:sz w:val="21"/>
        </w:rPr>
        <w:t>La herramienta permitirá a las autoridades estimar el impacto de medidas como aplicar vedas y cuotas. Con el fin de que los organismos públicos tomen mejores decisiones para la gestión de la pesca en Chile, un equipo liderado por la Pontificia Universidad Católica de Valparaíso (PUCV) y el Instituto de Fomento Pesquero (IFOP), de Corfo, está desarrollando una herramienta para unificar la información en un solo lugar. El jefe de Docencia de la Escuela de Ciencias del Mar de la PUCV y director del proyecto, Exequiel González, explicó que se trata de un panel de control interactivo y software que permitirá visualizar datos clave para orientar la administración del ecosistema pesquero nacional.</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Desempleo y el estado real de la economía</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“falsa sorpresa” de no tener diversidad en el directorio</w:t>
      </w:r>
    </w:p>
    <w:p>
      <w:pPr>
        <w:spacing w:before="40" w:after="60"/>
        <w:ind w:left="283"/>
      </w:pPr>
      <w:r>
        <w:rPr>
          <w:rFonts w:ascii="Arial" w:hAnsi="Arial"/>
          <w:color w:val="404040"/>
          <w:sz w:val="21"/>
        </w:rPr>
        <w:t>La conversación abierta en este medio por Gina Ocqueteau, Rosario Navarro y Rafael Guilisasti abre la pregunta: ¿de dónde salen los directorios diversos? Harvard Business Review ha advertido que la diversidad en la cima no se construye cuando se abre una vacante, sino mucho antes, a través de las rotaciones, la formación y las oportunidades de desarrollo que reciben gerentes y mandos medios. Es allí donde se empieza a formar la próxima generación de directores. Las empresas se sorprenden de no tener diversidad arriba después de pasar veinte o más años promoviendo gente que se parece entre sí. Es una especie de “se cosecha lo que se siembra”, pero en versión corporativa: si cultivas trayectorias homogéneas, no esperes resultados distintos al final. Si durante décadas se promueven perfiles similares, ¿cómo aparecerán candidatos distintos al final del camino? La diversidad se construye mucho antes de la elección. Es imposible cosechar algo diferente cuando se ha sembrado siempre lo mismo.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FNE: análisis del mercado de los medicamentos</w:t>
      </w:r>
    </w:p>
    <w:p>
      <w:pPr>
        <w:spacing w:before="40" w:after="60"/>
        <w:ind w:left="283"/>
      </w:pPr>
      <w:r>
        <w:rPr>
          <w:rFonts w:ascii="Arial" w:hAnsi="Arial"/>
          <w:color w:val="404040"/>
          <w:sz w:val="21"/>
        </w:rPr>
        <w:t>El anuncio del nuevo estudio de mercado sobre medicamentos por la Fiscalía Nacional Económica (FNE) representa una oportunidad relevante para fortalecer, sobre evidencia, el funcionamiento de un mercado especialmente sensible para las personas. Su mayor valor radicará en abordar el mercado en su conjunto, evitando centrar el análisis sólo en alguno de sus eslabones. El acceso a diagnósticos oportunos, medicamentos, su cobertura, financiamiento y la continuidad de los tratamientos depende de una cadena compleja donde intervienen prestadores, laboratorios, distribuidores, operadores logísticos, prescriptores y profesionales de la salud, farmacias, reguladores, aseguradores y el propio Estado. Comprender cómo interactúan estos actores, identificar eventuales espacios de mejora y formular recomendaciones de política pública requiere una mirada amplia. Parece conveniente permitir que el proceso desarrolle un diagnóstico técnico e independiente, incorporando los antecedentes que aporten todos los participantes del sistema y el impacto internacional en la cadena de valor del medicamento.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Pesaje: proteger sin ahogar</w:t>
      </w:r>
    </w:p>
    <w:p>
      <w:pPr>
        <w:spacing w:before="40" w:after="60"/>
        <w:ind w:left="283"/>
      </w:pPr>
      <w:r>
        <w:rPr>
          <w:rFonts w:ascii="Arial" w:hAnsi="Arial"/>
          <w:color w:val="404040"/>
          <w:sz w:val="21"/>
        </w:rPr>
        <w:t>El proyecto de ley que descentraliza el control de sobrepeso tiene un objetivo inobjetable: preservar nuestras carreteras. Pero transfiere esa responsabilidad a los únicos actores que no pueden fallar sin frenar el comercio nacional. El problema no es pesar, sino hacerlo al final del trayecto. Si el control se realiza en eldestino, el camión ya circuló con sobrepeso y el daño vial ya ocurrió. Además, puertos y centros de distribución enfrentarán cuellos de botella que elevarán los tiempos de espera, los costos operacionales y, finalmente, el precio que paga el consumidor. El sobrecosto privado es 29 veces superior al ahorro estatal. Un incremento del 81% en costos logísticos es un lujo que un país dependiente de la velocidad de sus cadenas de suministro no puede darse. Algunas posibles soluciones: homologar el estándar VGM internacional, implementar sistemas de pesaje dinámico en autopistas y replicar el modelo de las Plantas de Revisión Técnica con estaciones tercerizadas en la red troncal.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Multinacionales e impuesto mínimo global</w:t>
      </w:r>
    </w:p>
    <w:p>
      <w:pPr>
        <w:spacing w:before="40" w:after="60"/>
        <w:ind w:left="283"/>
      </w:pPr>
      <w:r>
        <w:rPr>
          <w:rFonts w:ascii="Arial" w:hAnsi="Arial"/>
          <w:color w:val="404040"/>
          <w:sz w:val="21"/>
        </w:rPr>
        <w:t>Por años se instaló la expectativa de que el Pilar 2 de la OCDE transformaría la planificación fiscal internacional, reduciendo la relevancia de los precios de transferencia. Pero los primeros efectos de su implementación muestran una realidad distinta: el impuesto mínimo global de 15% no reemplaza a los precios de transferencia, sino que refuerza su papel.Los mecanismos del Pilar 2 -en particular el Income Inclusion Rule y el Undertaxed Payments Rule- buscan asegurar un nivel mínimo de tributación. Pero su alcance se limita al resultado final. Dónde se generan las utilidades, cómo se distribuyen entre jurisdicciones y qué rentabilidad corresponde a cada entidad sigue dependiendo de las reglas de precios de transferencia. El Pilar 2 corrige efectos, pero no redefine la base sobre la que se construyen. Esta distinción es más que técnica. Bajo el nuevo entorno, inconsistencias en políticas de precios de transferencia ya no implican solo ajustes tributarios tradicionales. También pueden alterar la tasa efectiva de tributación en una jurisdicción, gatillar impuestos complementarios (top-up tax) y aumentar significativamente la exposición fiscal de multinacionales. No basta con cumplir formalmente con la documentación. Hoy es necesario revisar la coherencia económica de toda la cadena de valor, validar la asignación internacional de beneficios y asegurar que las políticas de precios de transferencia reflejen, de manera consistente, la sustancia de las operaciones.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