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14 De Agosto De 2026</w:t>
      </w:r>
    </w:p>
    <w:p>
      <w:pPr>
        <w:jc w:val="center"/>
      </w:pPr>
      <w:r>
        <w:rPr>
          <w:rFonts w:ascii="Arial" w:hAnsi="Arial"/>
          <w:color w:val="999999"/>
          <w:sz w:val="20"/>
        </w:rPr>
        <w:t>6 secciones  ·  15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mercado asigna un 37% de probabilidad a un arancel de 30% al cobre refinado en EEUU desde 2028</w:t>
      </w:r>
    </w:p>
    <w:p>
      <w:pPr>
        <w:spacing w:before="40" w:after="60"/>
        <w:ind w:left="283"/>
      </w:pPr>
      <w:r>
        <w:rPr>
          <w:rFonts w:ascii="Arial" w:hAnsi="Arial"/>
          <w:color w:val="404040"/>
          <w:sz w:val="21"/>
        </w:rPr>
        <w:t>La estimación de Société Générale se basa en la prima que muestran los futuros de cobre en Comex frente al precio en la Bolsa de Metales de Londres. El diferencial entre los precios del cobre en el mercado de futurosComex de Estados Unidos y la Bolsa de Metales de Londres(LME, por sus siglas en inglés) se ha convertido en una señal de las expectativas del mercado sobre la eventual imposición de nuevos aranceles estadounidenses al cobre refinado, principal producto de exportación de Chile. De acuerdo con un análisis deSociété Générale, citado por CNBC este 14 de agosto, la prima que actualmente registra Comex frente al cobre entregado vía LME implica una probabilidad de 14,6% de que Estados Unidos aplique un arancel universal de 15% al cobre refinado desde enero de 2027 y de37% de que el gravamen llegue a 30% desde enero de 2028.</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de Santiago abre al alza con fuerte respaldo de Copec tras buenos resultados del conglomerado</w:t>
      </w:r>
    </w:p>
    <w:p>
      <w:pPr>
        <w:spacing w:before="40" w:after="60"/>
        <w:ind w:left="283"/>
      </w:pPr>
      <w:r>
        <w:rPr>
          <w:rFonts w:ascii="Arial" w:hAnsi="Arial"/>
          <w:color w:val="404040"/>
          <w:sz w:val="21"/>
        </w:rPr>
        <w:t>La empresa reportó alzas de alrededor de 30% interanual en ingresos y Ebitda que vencieron los pronósticos de los analistas, a la vez que casi duplicó sus utilidades netas del trimestre, con comparación con el mismo período de 2025. La bolsa chilena recibía el viernes un impulso positivo de la temporada de resultados, mientras además los inversionistas tomaban nota deventas minoristasque confirmaban la idea de tasas de interés estables en la próxima reunión de la Reserva Federal (Fed). El S&amp;P IPSA subía 0,4% hasta los 11.045,10 puntos, tras haber logrado un repunte modesto enla volátil sesión de este jueves. De mantenerse en este nivel, el índice registraría una baja semanal de más de 2%, que compensaría los avances de la semana pasada.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 la baja tras sorpresiva contracción de 0,6% en las ventas minoristas estadounidenses</w:t>
      </w:r>
    </w:p>
    <w:p>
      <w:pPr>
        <w:spacing w:before="40" w:after="60"/>
        <w:ind w:left="283"/>
      </w:pPr>
      <w:r>
        <w:rPr>
          <w:rFonts w:ascii="Arial" w:hAnsi="Arial"/>
          <w:color w:val="404040"/>
          <w:sz w:val="21"/>
        </w:rPr>
        <w:t>El dollar index retrocedía 0,5%, pues los datos terminaban de confirmar las apuestas a que la Fed mantenga las tasas en su próxima reunión, idea que ya venía ganando fuerza por los últimos datos de inflación y empleo. El dólar abrió a la baja este viernes, movido por la noticia de quelas ventas al por menor de Estados Unidos en julioresultaron ser mucho más débiles de lo que el mercado tenía previsto. Tras elfallido intento de caídade este jueves,el precio del dólar en Chile marcaba un descenso de $ 4,5 hasta los $ 910,3 en estos primeros negocios, según los datos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Marsh Chile evalúa adquisiciones para crecer en el mercado de corretaje de seguros: “Estamos viendo alternativas y hay oportunidades”</w:t>
      </w:r>
    </w:p>
    <w:p>
      <w:pPr>
        <w:spacing w:before="40" w:after="60"/>
        <w:ind w:left="283"/>
      </w:pPr>
      <w:r>
        <w:rPr>
          <w:rFonts w:ascii="Arial" w:hAnsi="Arial"/>
          <w:color w:val="404040"/>
          <w:sz w:val="21"/>
        </w:rPr>
        <w:t>El CEO de la corredora de seguros con mayor participación de mercado del país, Ernesto Díaz, tiene buenas perspectivas para la industria tras la aprobación del proyecto de reconstrucción. El CEO de Marsh Chile, Ernesto Díaz. Foto: Julio Castro Ernesto Díaz tomó en enero las riendas de la operación en Chile de la corredora de seguros Marsh, luego de ser el encargado de placement para América Latina y el Caribe de la compañía de capitales estadounidenses.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Sueca Legora busca duplicar su valorización y acortar distancia con Harvey en carrera por IA legal</w:t>
      </w:r>
    </w:p>
    <w:p>
      <w:pPr>
        <w:spacing w:before="40" w:after="60"/>
        <w:ind w:left="283"/>
      </w:pPr>
      <w:r>
        <w:rPr>
          <w:rFonts w:ascii="Arial" w:hAnsi="Arial"/>
          <w:color w:val="404040"/>
          <w:sz w:val="21"/>
        </w:rPr>
        <w:t>La empresa sueca fue valorizada en US$ 5.600 millones hace solo cuatro meses, en medio del fuerte aumento del interés por herramientas de inteligencia artificial para servicios profesionales. La startup de inteligencia artificial legalLegora busca levantar capital con una valorización cercana al doble de los US$ 5.600 millones que alcanzó hace apenas cuatro meses, una señal del intenso interés por las compañías de inteligencia artificial que están impulsando los servicios profesionales. Legora se encuentra en las primeras etapas de conversaciones con inversionistas para una valorización de al menos US$ 10 mil millones. La operación podría incluir tanto la captación de nuevos recursos por parte de la compañía como la venta de acciones existentes, según personas familiarizadas con el financiamiento.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Quiroz valora fallo del TC que allana la invariabilidad tributaria y adelanta que algunos artículos rechazados se resolverán por otras vías</w:t>
      </w:r>
    </w:p>
    <w:p>
      <w:pPr>
        <w:spacing w:before="40" w:after="60"/>
        <w:ind w:left="283"/>
      </w:pPr>
      <w:r>
        <w:rPr>
          <w:rFonts w:ascii="Arial" w:hAnsi="Arial"/>
          <w:color w:val="404040"/>
          <w:sz w:val="21"/>
        </w:rPr>
        <w:t>El ministro de Hacienda le bajó al perfil al rechazo del tribunal a la norma que permitía una restitución del Estado a los privados cuando una RCA aprobada fuera anulada. El ministro de Hacienda, Jorge Quiroz, abordó la mañana de este viernesla determinación del Tribunal Constitucional (TC) respecto a los artículos impugnados por la oposiciónpor indemnización por Resoluciones de Calificación Ambiental (RCA) anuladas y a la invariabilidad tributaria, en el marco de la ley de reconstrucción. Sobre la invariabilidad, que fue aprobada casi en su totalidad por el TC excepto un par de artículo,Quiroz lo calificó como “un elemento central de esta reforma”, por lo que señaló que en el Ejecutivo están “extremadamente contentos”, dijo en entrevista con T13 Radio.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Se reducen inventarios del comercio y la minería y suben los de manufactura</w:t>
      </w:r>
    </w:p>
    <w:p>
      <w:pPr>
        <w:spacing w:before="40" w:after="60"/>
        <w:ind w:left="283"/>
      </w:pPr>
      <w:r>
        <w:rPr>
          <w:rFonts w:ascii="Arial" w:hAnsi="Arial"/>
          <w:color w:val="404040"/>
          <w:sz w:val="21"/>
        </w:rPr>
        <w:t>El Índice de Inventarios del Comercio (IICom) registró una disminución de 1,3% en junio respecto a mayo del presente año, debido al decrecimiento en los segmentos minorista y mayorista, según informó el Instituto Nacional de Estadísticas (INE). Mientras tanto, el Índice de Inventarios de la Minería del Cobre (IIMCu) decreció 1% respecto al mes anterior, a raíz de la baja en productos de la minería del metal. Finalmente, el Índice de Inventarios de la Industria Manufacturera (IIMan) anotó un incremento mensual de 1,2%.</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Menos compras y gasto acotado: la cautela marca las decisiones de consumo de los chilenos</w:t>
      </w:r>
    </w:p>
    <w:p>
      <w:pPr>
        <w:spacing w:before="40" w:after="60"/>
        <w:ind w:left="283"/>
      </w:pPr>
      <w:r>
        <w:rPr>
          <w:rFonts w:ascii="Arial" w:hAnsi="Arial"/>
          <w:color w:val="404040"/>
          <w:sz w:val="21"/>
        </w:rPr>
        <w:t>El reporte Consumer Insight mostró que el volumen que adquirieron los consumidores locales bajó 2,7% anual en junio. Parece que la consigna de los consumidores sigue siendo que cada peso cuenta más que nunca. El último Consumer Insight, realizado por la empresa global de investigación de mercado Worldpanel by Numerator, indicó que el volumen de compra disminuyó 2,7% en junio en comparación con el mismo período del año anterior, lo que representa el mayor descenso desde septiembre de 2024. Y, aunque frente a este comportamiento el gasto subió, lo hizo a un ritmo por debajo de lo observado en marzo. Así, el ritmo de alza se moderó de 2,6% al cierre del primer trimestre a solo 0,5% al término del segundo.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Las ventas minoristas de EEUU registran una sorpresiva caída en julio</w:t>
      </w:r>
    </w:p>
    <w:p>
      <w:pPr>
        <w:spacing w:before="40" w:after="60"/>
        <w:ind w:left="283"/>
      </w:pPr>
      <w:r>
        <w:rPr>
          <w:rFonts w:ascii="Arial" w:hAnsi="Arial"/>
          <w:color w:val="404040"/>
          <w:sz w:val="21"/>
        </w:rPr>
        <w:t>Las ventas minoristas cayeron un 0,6% el mes pasado, tras un aumento no revisado del 0,2% en junio. Los consumidores habían mantenido un sólido gasto de los consumidores en el segundo trimestre. Las ventas minoristas de Estados Unidos cayeron en julio tras recientes repuntes impulsados por las devoluciones de impuestos, pero es probable que el gasto de los consumidores siga respaldado por el aumento de la riqueza procedente del mercado bursátil, incluso aunque los hogares se muestren cada vez más sensibles al alza de los precios.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EEUU amenaza con alargar el bloqueo naval sobre Irán "indefinidamente" y ejercer mayor presión económica</w:t>
      </w:r>
    </w:p>
    <w:p>
      <w:pPr>
        <w:spacing w:before="40" w:after="60"/>
        <w:ind w:left="283"/>
      </w:pPr>
      <w:r>
        <w:rPr>
          <w:rFonts w:ascii="Arial" w:hAnsi="Arial"/>
          <w:color w:val="404040"/>
          <w:sz w:val="21"/>
        </w:rPr>
        <w:t>El secretario de Defensa, Pete Hegseth, declaró en Panamá que el ejército estadounidense tiene la capacidad de mantener una presencia naval en la región para hacer cumplir su bloqueo a Irán, que ha infligido graves daños económicos al país. "La Armada de Estados Unidos puede mantener un bloqueo como ese de forma indefinida", declaró Hegseth a la prensa durante un viaje a Panamá. (Foto: Reuters) Estados Unidos afirmó que podría mantener un bloqueo naval sobre Irán de forma indefinida y que intensificaría la presión económica sobre Teherán, en un momento en que las negociaciones para un alto el fuego se han estancado, el suministro mundial de petróleo está disminuyendo y las tensiones regionales van en aumento.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Terremoto en Colombia abre el primer flanco de críticas a De la Espriella</w:t>
      </w:r>
    </w:p>
    <w:p>
      <w:pPr>
        <w:spacing w:before="40" w:after="60"/>
        <w:ind w:left="283"/>
      </w:pPr>
      <w:r>
        <w:rPr>
          <w:rFonts w:ascii="Arial" w:hAnsi="Arial"/>
          <w:color w:val="404040"/>
          <w:sz w:val="21"/>
        </w:rPr>
        <w:t>El sismo sorprendió al nuevo gobierno en su primer día hábil y dejó dudas sobre los rescatistas extranjeros, la transición en la agencia de emergencias y las brechas territoriales en la respuesta estatal. El miércoles, Abelardo de la Espriella llegó ante la prensa con una emergencia nacional a cuestas y una serie de decisiones bajo creciente escrutinio. Anunció la emergencia económica, presentó las primeras medidas para la reconstrucción y, cuando terminó de hablar, se fue sin aceptar preguntas. Afuera quedaron varios asuntos sin responder, mientras el sismo se configuraba como el primer test político de su gobierno. La polémica comenzó cuando, pese al rápido despliegue interno, Colombia decidió no recibir inicialmente brigadas extranjeras de rescate. La postura fue defendida por Javier Pava, entonces director de la Unidad Nacional para la Gestión del Riesgo de Desastres (UNGRD) y funcionario heredado del gobierno de Gustavo Petro, quien sostuvo que el país ya contaba con 23 equipos USAR (búsqueda y rescate urbano) y necesitaba más bien hospitales de campaña, ayuda humanitaria y apoyo tecnológico.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Terafab: la ciudad-fábrica de chips de IA que Elon Musk levanta en Texas para aplicaciones en la Tierra y el espacio</w:t>
      </w:r>
    </w:p>
    <w:p>
      <w:pPr>
        <w:spacing w:before="40" w:after="60"/>
        <w:ind w:left="283"/>
      </w:pPr>
      <w:r>
        <w:rPr>
          <w:rFonts w:ascii="Arial" w:hAnsi="Arial"/>
          <w:color w:val="404040"/>
          <w:sz w:val="21"/>
        </w:rPr>
        <w:t>El proyecto busca crear la cadena de suministro completa para alimentar la demanda de semiconductores y cómputo que necesitan SpaceX y Tesla. Así se verá la fábrica-ciudad. Crédito: X, SpaceX y Elon Musk Cuando Elon Musk anunció Terafab en marzo pasado, el escepticismo en la industria de semiconductores fue inmediato. El comentario general era que ni Tesla ni SpaceX tienen experiencia fabricando chips y que igualar las capacidades de actores como la taiwanesa TSMC es virtualmente imposible.</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PRAGMATISMO POLÍTICO Y ECONÓMICO</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Fortalecer Codelco, ¿a qué precio fiscal?</w:t>
      </w:r>
    </w:p>
    <w:p>
      <w:pPr>
        <w:spacing w:before="40" w:after="60"/>
        <w:ind w:left="283"/>
      </w:pPr>
      <w:r>
        <w:rPr>
          <w:rFonts w:ascii="Arial" w:hAnsi="Arial"/>
          <w:color w:val="404040"/>
          <w:sz w:val="21"/>
        </w:rPr>
        <w:t>La decisión de capitalizar el 100% de las utilidades de Codelco correspondientes a 2025, tiene una lógica económica comprensible. La empresa necesita recursos para sostener sus inversiones, para recuperar su capacidad productiva y para evitar que su endeudamiento siga aumentando. Entonces, fortalecer a Codelco hoy podría traducirse en mayores aportes al país en el futuro.Pero, existe otro lado de esta decisión, que son las finanzas públicas. Cuando las utilidades permanecen en Codelco, esos recursos no estarán disponibles de la misma manera para financiar necesidades del Estado, y esto ocurre en un momento en que el gobierno ya ha implementado medidas de contención del gasto.Por eso, más que cuestionar la capitalización en sí misma, la pregunta es cómo se financiará este esfuerzo. Si el Estado decide renunciar hoy a parte de los recursos de Codelco para fortalecer la empresa, ¿será necesario compensarlos con menores gastos en otras áreas? ¿significará nuevos ajustes o recortes? En un escenario fiscal estrecho, es tan importante explicar por qué se capitaliza la empresa, como transparentar cómo esta decisión afectará las arcas fiscales y de dónde saldrán los recursos para compensarla. Michelle Mieres BrevisFacultad de Administración y NegociosUniversidad Autónoma de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Cada vez que alguien renuncia, la empresa pierde más dinero del que cree</w:t>
      </w:r>
    </w:p>
    <w:p>
      <w:pPr>
        <w:spacing w:before="40" w:after="60"/>
        <w:ind w:left="283"/>
      </w:pPr>
      <w:r>
        <w:rPr>
          <w:rFonts w:ascii="Arial" w:hAnsi="Arial"/>
          <w:color w:val="404040"/>
          <w:sz w:val="21"/>
        </w:rPr>
        <w:t>Cuando alguien deja una empresa, la mayoría de las organizaciones registra lo evidente: la liquidación, el aviso en un portal o las horas del área de selección. Lo que no se registra es mucho más grande: el tiempo del jefe que formó a esa persona, la productividad perdida del puesto vacío, la curva de aprendizaje del reemplazante, el cliente que lo notó, el equipo que tuvo que cubrir.Reemplazar a un trabajador clave puede costar entre seis y nueve meses de su salario anual, según datos de Adecco. En dotaciones operativas de alta rotación, ese número multiplicado por cientos de personas al año tiene un impacto sobre los resultados del negocio que rara vez llega al directorio.Una empresa con la que trabajé tenía rotación operativa del 96% anual. Por cada 1.500 personas menos que rotaban, generaban US$ 2 millones de ahorro directo en finiquitos y uniformes, sin contar reclutamiento ni productividad perdida. En 24 meses redujeron su rotación 40 puntos porcentuales. Dejaron de contratar por instinto y empezaron a usar datos.Construyeron un perfil basado en sus mejores desempeños que les permite identificar, antes de contratar, qué candidato tiene más probabilidad de rendir y quedarse. El resultado: el tiempo de cobertura de un puesto bajó de 12 días a cinco, y el tiempo por entrevista se redujo un 75%.Hoy existe tecnología que mide competencias y comportamientos de forma objetiva y anticipa qué candidato encaja mejor. No reemplaza al reclutador. Complementa su criterio y reduce el margen de error. Cuando el área de personas puede mostrar en números cuánto cuesta perder a alguien, la conversación deja de ser administrativa y pasa a ser estratégica.La pregunta no es si vale la pena usar datos para decidir sobre personas. Es cuánto está costando no hacerlo. PABLO SILVApsicólogo y regional manager para Chile y Perú de Buo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14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