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 De Junio De 2026</w:t>
      </w:r>
    </w:p>
    <w:p>
      <w:pPr>
        <w:jc w:val="center"/>
      </w:pPr>
      <w:r>
        <w:rPr>
          <w:rFonts w:ascii="Arial" w:hAnsi="Arial"/>
          <w:color w:val="999999"/>
          <w:sz w:val="20"/>
        </w:rPr>
        <w:t>5 secciones  ·  34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en baja y pierde los 10.600 puntos mientras inversionistas siguen atentos el incierto proceso de paz en Medio Oriente</w:t>
      </w:r>
    </w:p>
    <w:p>
      <w:pPr>
        <w:spacing w:before="40" w:after="60"/>
        <w:ind w:left="283"/>
      </w:pPr>
      <w:r>
        <w:rPr>
          <w:rFonts w:ascii="Arial" w:hAnsi="Arial"/>
          <w:color w:val="404040"/>
          <w:sz w:val="21"/>
        </w:rPr>
        <w:t>La bolsa chilena abrió este martes con una caída de 0,5%, situándose en 10.577 puntos, afectada por la incertidumbre en torno al proceso de paz en Medio Oriente y un decepcionante Imacec de abril. En Wall Street, el Nasdaq y el S&amp;P 500 retrocedían levemente, mientras el petróleo Brent se estabilizaba en torno a US$ 95 por barril tras señales optimistas de Trump sobre un posible acuerdo con Irán. Las bolsas europeas avanzaban y el Hang Seng de Hong Kong subía 2,5%, en una jornada marcada por la volatilidad geopolítica.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Allanan sucursal de Santander en centro de Santiago en operativo contra el Tren de Aragua: Banco reafirma "tolerancia cero" a ilícitos y colabora con diligencias</w:t>
      </w:r>
    </w:p>
    <w:p>
      <w:pPr>
        <w:spacing w:before="40" w:after="60"/>
        <w:ind w:left="283"/>
      </w:pPr>
      <w:r>
        <w:rPr>
          <w:rFonts w:ascii="Arial" w:hAnsi="Arial"/>
          <w:color w:val="404040"/>
          <w:sz w:val="21"/>
        </w:rPr>
        <w:t>Agentes de la PDI allanaron una sucursal de Banco Santander en calle Agustinas, en Santiago, en el marco de un operativo de la Fiscalía contra el Tren de Aragua, lo que resultó en la detención de un ejecutivo de la entidad. La policía retiró una laptop y carpetas del lugar. Santander declaró tener una política de tolerancia cero frente a conductas ilegales y reafirmó su plena disposición a colaborar con las autoridades, evitando pronunciarse sobre detalles específicos de la investigación para no interferir en las diligencias.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Citi ve espacio para que el cobre siga subiendo y alcance los US$ 6,8 la libra en seis o 12 meses</w:t>
      </w:r>
    </w:p>
    <w:p>
      <w:pPr>
        <w:spacing w:before="40" w:after="60"/>
        <w:ind w:left="283"/>
      </w:pPr>
      <w:r>
        <w:rPr>
          <w:rFonts w:ascii="Arial" w:hAnsi="Arial"/>
          <w:color w:val="404040"/>
          <w:sz w:val="21"/>
        </w:rPr>
        <w:t>Citi adoptó una postura alcista sobre el cobre, proyectando que el metal podría alcanzar los US$ 15.000 por tonelada (US$ 6,80 por libra) en seis a doce meses, y elevó su estimación de corto plazo a US$ 14.500 por tonelada para junio. La visión positiva se sustenta en el efecto de los aranceles estadounidenses sobre el cobre refinado, una oferta más ajustada —con expectativa de un déficit de 360.000 toneladas en 2027— y una demanda resiliente asociada a centros de datos, transición energética y electromovilidad. Goldman Sachs también elevó su proyección en un 10%, anticipando que el metal cerrará el año en US$ 13.735 por tonelada.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a la baja en medio de expectación sobre Medio Oriente y un cobre cercano a nuevos máximos históricos</w:t>
      </w:r>
    </w:p>
    <w:p>
      <w:pPr>
        <w:spacing w:before="40" w:after="60"/>
        <w:ind w:left="283"/>
      </w:pPr>
      <w:r>
        <w:rPr>
          <w:rFonts w:ascii="Arial" w:hAnsi="Arial"/>
          <w:color w:val="404040"/>
          <w:sz w:val="21"/>
        </w:rPr>
        <w:t>El dólar cayó $4,7 hasta $887,9 al inicio de la jornada en Chile, impulsado por el alto precio del cobre y el optimismo de Trump sobre un acuerdo de paz con Irán. El cobre Comex escalaba 1,5% a US$ 6,65 por libra, cerca de su récord histórico, mientras el dollar index retrocedía 0,1% a nivel global. Los agentes extranjeros han moderado su apuesta contra el peso chileno en el mercado de derivados, con una corrección favorable a la moneda local de más de US$ 1.100 millones semanales, reduciendo la posición neta vendedora a US$ 12.360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cobre toca su máximo de más de dos semanas ante la incertidumbre arancelaria en EEUU y una menor oferta</w:t>
      </w:r>
    </w:p>
    <w:p>
      <w:pPr>
        <w:spacing w:before="40" w:after="60"/>
        <w:ind w:left="283"/>
      </w:pPr>
      <w:r>
        <w:rPr>
          <w:rFonts w:ascii="Arial" w:hAnsi="Arial"/>
          <w:color w:val="404040"/>
          <w:sz w:val="21"/>
        </w:rPr>
        <w:t>El cobre en la Bolsa de Metales de Londres subió 0,99% hasta US$ 13.968,50 por tonelada, su nivel más alto desde el 14 de mayo, impulsado por la incertidumbre sobre los aranceles estadounidenses y la oferta ajustada fuera de EEUU. La Casa Blanca ajustó aranceles sobre algunas importaciones de cobre pero sin resolver la cuestión central, lo que siguió incentivando flujos de metal hacia almacenes estadounidenses y amplió la prima del Comex sobre la LME. Los mercados también siguen de cerca el conflicto en Medio Oriente, donde un alto el fuego parcial entre Hezbolá e Israel no resuelve la guerra más amplia con Irán.</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Joaquín Cortez se enfrenta con las AFP en el Tribunal Constitucional por norma de la reforma de pensiones</w:t>
      </w:r>
    </w:p>
    <w:p>
      <w:pPr>
        <w:spacing w:before="40" w:after="60"/>
        <w:ind w:left="283"/>
      </w:pPr>
      <w:r>
        <w:rPr>
          <w:rFonts w:ascii="Arial" w:hAnsi="Arial"/>
          <w:color w:val="404040"/>
          <w:sz w:val="21"/>
        </w:rPr>
        <w:t>La Superintendencia de Pensiones, encabezada por Joaquín Cortez, presentó argumentos ante el Tribunal Constitucional para solicitar la inadmisibilidad del requerimiento de las AFP contra la Norma de Carácter General N° 354, que establece mayores requisitos para la conformación de directorios y equipos de inversión. El regulador argumenta que el requerimiento se basa en justificaciones "meramente preventivas y eventuales" y que sus potestades regulatorias tienen fundamento autónomo en la ley. Las AFP rebatieron señalando que la norma ya produce efectos en el presente y que la Superintendencia reconoció judicialmente que el fundamento de la norma es únicamente la reforma previsional de 2025.</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Fintech pierden la pulseada: CMF aplaza hasta 2027 la entrada en vigencia de las finanzas abiertas</w:t>
      </w:r>
    </w:p>
    <w:p>
      <w:pPr>
        <w:spacing w:before="40" w:after="60"/>
        <w:ind w:left="283"/>
      </w:pPr>
      <w:r>
        <w:rPr>
          <w:rFonts w:ascii="Arial" w:hAnsi="Arial"/>
          <w:color w:val="404040"/>
          <w:sz w:val="21"/>
        </w:rPr>
        <w:t>La Comisión para el Mercado Financiero (CMF) postergó la implementación del Sistema de Finanzas Abiertas (SFA) al 1 de julio de 2027, cuando originalmente estaba prevista para 2026. La modificación normativa incorpora un Anexo técnico con especificaciones de interoperabilidad, y contempla gradualidad en las fases de puesta en marcha, homologación de mecanismos alternativos, participación simplificada para entidades pequeñas y un período piloto de pruebas. La decisión responde a meses de presiones de la industria por los plazos exigentes y la complejidad tecnológica y de ciberseguridad que implica abrir la información financiera entre bancos, fintech y otros actores del sistema.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SpaceX: el debut bursátil despegará con múltiplos exigentes, pero enciende alertas para los inversionistas retail</w:t>
      </w:r>
    </w:p>
    <w:p>
      <w:pPr>
        <w:spacing w:before="40" w:after="60"/>
        <w:ind w:left="283"/>
      </w:pPr>
      <w:r>
        <w:rPr>
          <w:rFonts w:ascii="Arial" w:hAnsi="Arial"/>
          <w:color w:val="404040"/>
          <w:sz w:val="21"/>
        </w:rPr>
        <w:t>SpaceX se alista para debutar en el Nasdaq bajo el ticker SPCX con una valorización cercana a US$ 2 billones, lo que implicaría un múltiplo precio/ventas de 107 veces sobre ingresos de US$ 18.700 millones, pese a registrar una pérdida neta de US$ 4.900 millones en el último año fiscal. Analistas locales advierten que los inversionistas retail podrían sobrepagar impulsados por la euforia del IPO, similar a lo ocurrido con Figma, donde muchos perdieron hasta el 82% de su inversión. Respecto a los índices, SpaceX podría ingresar al Nasdaq-100 en 15 días hábiles vía "fast entry", pero su ingreso al S&amp;P 500 requeriría cuatro trimestres de ganancias GAAP, requisito que el comité está evaluando flexibilizar.</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Dueño de la emblemática constructora CIAL arriesga hasta 10 años de cárcel por fraude al fisco y provocación de insolvencia</w:t>
      </w:r>
    </w:p>
    <w:p>
      <w:pPr>
        <w:spacing w:before="40" w:after="60"/>
        <w:ind w:left="283"/>
      </w:pPr>
      <w:r>
        <w:rPr>
          <w:rFonts w:ascii="Arial" w:hAnsi="Arial"/>
          <w:color w:val="404040"/>
          <w:sz w:val="21"/>
        </w:rPr>
        <w:t>Comenzó en Temuco el juicio oral contra Alejandro Becker, fundador de Constructora CIAL, acusado de fraude al fisco por $424 millones mediante facturación indebida en contratos con el MOP, además de provocación de insolvencia y ocultamiento de bienes. La Fiscalía solicita penas de hasta tres años, mientras el Consejo de Defensa del Estado pide diez años y un día de presidio. El caso tiene origen en la quiebra de CIAL en 2018, que dejó a más de 1.200 trabajadores cesantes, y la investigación detectó traspasos de propiedades a sociedades offshore en Panamá para perjudicar a los acreedores.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Sigue la saga láctea: Suprema rechaza "aclarar" fallo en disputa entre lecheros y NotCo por uso de la palabra leche</w:t>
      </w:r>
    </w:p>
    <w:p>
      <w:pPr>
        <w:spacing w:before="40" w:after="60"/>
        <w:ind w:left="283"/>
      </w:pPr>
      <w:r>
        <w:rPr>
          <w:rFonts w:ascii="Arial" w:hAnsi="Arial"/>
          <w:color w:val="404040"/>
          <w:sz w:val="21"/>
        </w:rPr>
        <w:t>La Cuarta Sala de la Corte Suprema rechazó el recurso de aclaración presentado por Aproval —gremio de productores de leche— sobre su fallo contra NotCo, indicando que las disputas marcarias deben resolverse en otras sedes, como el Inapi. El gremio buscaba que el tribunal aclarara si NotCo podía seguir usando la palabra "Milk" en sus productos, tras el fallo original que sancionó prácticas de competencia desleal. Aproval interpretó la resolución como una confirmación de que la Suprema no autorizó el uso de la marca NotMilk, mientras la empresa celebró que el fallo ratifica que puede continuar usando dicha marca.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Gonzalo Said, empresario y director de empresas: “Fue una Cuenta Pública con un foco claro en tres preocupaciones de los chilenos: seguridad, empleo y crecimiento”</w:t>
      </w:r>
    </w:p>
    <w:p>
      <w:pPr>
        <w:spacing w:before="40" w:after="60"/>
        <w:ind w:left="283"/>
      </w:pPr>
      <w:r>
        <w:rPr>
          <w:rFonts w:ascii="Arial" w:hAnsi="Arial"/>
          <w:color w:val="404040"/>
          <w:sz w:val="21"/>
        </w:rPr>
        <w:t>Valoró el sentido de emergencia para atraer la inversión, mejorar la productividad y generar más oportunidades. También destacó el énfasis en ordenar las cuentas fiscales. La primera Cuenta Pública de José Antonio Kast a casi tres meses de asumir la presidencia se enmarcó en un escenario que reafirmó un panorama económico complejo. Datos revelados el viernes mostraron que la tasa de desocupación nacional llegó a 9,1% en abril, impulsada por el alza del desempleo de las mujeres, llegando a su nivel más alto en casi cinco 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Ministra Rincón aterriza mensaje presidencial: proyecto para enfrentar deuda con distribuidoras ingresaría al Congreso la próxima semana</w:t>
      </w:r>
    </w:p>
    <w:p>
      <w:pPr>
        <w:spacing w:before="40" w:after="60"/>
        <w:ind w:left="283"/>
      </w:pPr>
      <w:r>
        <w:rPr>
          <w:rFonts w:ascii="Arial" w:hAnsi="Arial"/>
          <w:color w:val="404040"/>
          <w:sz w:val="21"/>
        </w:rPr>
        <w:t>La ministra de Energía, Ximena Rincón, anunció que la próxima semana ingresaría al Congreso el proyecto de ley para mitigar el impacto de la deuda con las distribuidoras eléctricas, derivada de la reliquidación del Valor Agregado de Distribución (VAD), que ronda los US$ 900 millones. El cobro de esta deuda está programado para comenzar en julio, lo que le da carácter de urgencia a la tramitación legislativa. La ministra descartó postergar nuevamente el inicio del cobro, señalando que se ha trabajado con todos los parlamentarios y que el proyecto no debería ser de tramitación compleja.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Desaparición del jurel impacta en industria pesquera y a todo el sector fabril</w:t>
      </w:r>
    </w:p>
    <w:p>
      <w:pPr>
        <w:spacing w:before="40" w:after="60"/>
        <w:ind w:left="283"/>
      </w:pPr>
      <w:r>
        <w:rPr>
          <w:rFonts w:ascii="Arial" w:hAnsi="Arial"/>
          <w:color w:val="404040"/>
          <w:sz w:val="21"/>
        </w:rPr>
        <w:t>Desde inicios de 2026, los niveles de captura de jurel —el principal recurso pesquero de Chile— han caído un 50%, lo que está golpeando tanto a la industria fabril como a la flota artesanal. A esto se suma la escasez de anchoveta en el norte del país, con la especie migrando hacia aguas más frías y profundas producto de masas de agua cálida anómalas en el océano. El fenómeno ya impactó la actividad industrial de abril, que cayó 0,4% según el Banco Central, y el presidente de Sonapesca reconoció que falta investigación oceánica en Chile para anticiparse a eventos de esta naturaleza.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Codelco explicaría un tercio de la menor producción de cobre y metal rojo es el 88% del PIB minero</w:t>
      </w:r>
    </w:p>
    <w:p>
      <w:pPr>
        <w:spacing w:before="40" w:after="60"/>
        <w:ind w:left="283"/>
      </w:pPr>
      <w:r>
        <w:rPr>
          <w:rFonts w:ascii="Arial" w:hAnsi="Arial"/>
          <w:color w:val="404040"/>
          <w:sz w:val="21"/>
        </w:rPr>
        <w:t>La producción de cobre cayó 13,8% en abril de 2026, equivalente a 64 mil toneladas menos, siendo el factor central de la contracción del Imacec minero de 11,8%. Un análisis de GEM Mining Consulting muestra que en 35 de los últimos 60 meses el Imacec minero fue negativo, reflejando una debilidad estructural del sector. Codelco explica cerca de un tercio de la caída en el primer trimestre, con bajas en todas sus divisiones —especialmente El Teniente, aún afectado por el accidente de julio de 2025—, mientras Escondida retrocedió 9,3% y El Abra un 19,5%.</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Vientos de recesión entran en escena tras caída de la actividad en abril y mercado ahora ve PIB del año más cerca de 1,5%</w:t>
      </w:r>
    </w:p>
    <w:p>
      <w:pPr>
        <w:spacing w:before="40" w:after="60"/>
        <w:ind w:left="283"/>
      </w:pPr>
      <w:r>
        <w:rPr>
          <w:rFonts w:ascii="Arial" w:hAnsi="Arial"/>
          <w:color w:val="404040"/>
          <w:sz w:val="21"/>
        </w:rPr>
        <w:t>El Imacec de abril cayó 1,2% anual —muy superior al 0,1% esperado—, completando cuatro retrocesos consecutivos y detonando una oleada de revisiones a la baja en las proyecciones de crecimiento para 2026, ahora convergiendo hacia 1,5% desde estimaciones previas cercanas al 2%. Varios economistas no descartaron la posibilidad de una recesión técnica —dos trimestres consecutivos de caída desestacionalizada— si mayo y junio también resultan negativos. El mercado espera que el Banco Central rebaje su rango de PIB desde 1,5%-2% a un tramo de 1,25%-1,75% en el IPoM de junio.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Novandino afina ingreso ambiental de Salar Futuro, la apuesta de US$ 3.000 millones para producir litio hasta el 2060</w:t>
      </w:r>
    </w:p>
    <w:p>
      <w:pPr>
        <w:spacing w:before="40" w:after="60"/>
        <w:ind w:left="283"/>
      </w:pPr>
      <w:r>
        <w:rPr>
          <w:rFonts w:ascii="Arial" w:hAnsi="Arial"/>
          <w:color w:val="404040"/>
          <w:sz w:val="21"/>
        </w:rPr>
        <w:t>Novandino Litio, la joint venture entre Codelco y SQM, presentará en la segunda quincena de junio la evaluación ambiental del proyecto Salar Futuro, una inversión de US$ 3.000 millones para extender la operación en el Salar de Atacama hasta 2060 con producción de 280.000 a 300.000 toneladas de carbonato de litio equivalente al año a partir de 2031. El proyecto combina tecnologías de extracción directa de litio con las piscinas tradicionales, reduciendo los tiempos de extracción de 12-18 meses a solo semanas y prometiendo eliminar el uso de agua continental al quinto año de operación. El EIA tiene 5.700 páginas en su borrador inicial, con estimaciones de que el documento final alcance entre 10.000 y 15.000 páginas, y la tramitación ambiental se espera que tome hasta dos años y medio.</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Gigantes de Europa y Asia ponen sus ojos en la concesión del nuevo recinto penitenciario de Calama</w:t>
      </w:r>
    </w:p>
    <w:p>
      <w:pPr>
        <w:spacing w:before="40" w:after="60"/>
        <w:ind w:left="283"/>
      </w:pPr>
      <w:r>
        <w:rPr>
          <w:rFonts w:ascii="Arial" w:hAnsi="Arial"/>
          <w:color w:val="404040"/>
          <w:sz w:val="21"/>
        </w:rPr>
        <w:t>El MOP lanzó la licitación para el nuevo Centro Penitenciario de Calama, con una inversión estimada de US$ 300 millones para un recinto de 71.858 m² con capacidad para 1.850 personas. Nueve empresas internacionales adquirieron las bases, entre ellas la española Constructora San José —que ya tiene concesiones penitenciarias en Talca y Copiapó—, Sacyr, Dragados, China Road and Bridge Corporation (CRBC) y las operadoras de servicios Newrest y Sodexo. La recepción de ofertas está programada para el 24 de noviembre y la apertura para el 22 de diciembre.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Arrau ajusta su equipo en el Ministerio de Seguridad y destituye a los dos subsecretarios</w:t>
      </w:r>
    </w:p>
    <w:p>
      <w:pPr>
        <w:spacing w:before="40" w:after="60"/>
        <w:ind w:left="283"/>
      </w:pPr>
      <w:r>
        <w:rPr>
          <w:rFonts w:ascii="Arial" w:hAnsi="Arial"/>
          <w:color w:val="404040"/>
          <w:sz w:val="21"/>
        </w:rPr>
        <w:t>El ministro de Seguridad Pública, Martín Arrau, solicitó la renuncia de los dos subsecretarios de su cartera: Andrés Jouannet y Ana Victoria Quintana. El cambio responde al nuevo estilo de gestión que Arrau busca imprimir al ministerio, en línea con la agenda de seguridad presentada en la Cuenta Pública por el presidente Kast. Entre los próximos pasos del ministro se cuentan llevar adelante la agenda legislativa anunciada y conformar un Consejo Consultor de Seguridad Pública.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Kast convierte la seguridad en el eje de su primera Cuenta Pública, reafirma metas económicas y llama a aprobar proyecto de reactivación</w:t>
      </w:r>
    </w:p>
    <w:p>
      <w:pPr>
        <w:spacing w:before="40" w:after="60"/>
        <w:ind w:left="283"/>
      </w:pPr>
      <w:r>
        <w:rPr>
          <w:rFonts w:ascii="Arial" w:hAnsi="Arial"/>
          <w:color w:val="404040"/>
          <w:sz w:val="21"/>
        </w:rPr>
        <w:t>En su primera Cuenta Pública ante el Congreso, el presidente Kast centró su discurso en tres ejes —seguridad, economía y reconstrucción—, anunciando un Plan de Intervención Barrial Intensivo en 50 barrios, siete fuerzas de tareas contra el crimen organizado y un Registro de Vándalos. En materia económica, reafirmó metas de crecimiento al 4% y desempleo al 6% al término de su mandato, instando a la oposición a aprobar el proyecto de reactivación en el Senado, y firmó un proyecto para aumentar el techo de endeudamiento público en US$ 6.200 millones. También anunció indicaciones al proyecto de sala cuna universal para el 15 de junio y la fusión formal de los ministerios de Interior y Segegob.</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Quiroz pide US$ 6.200 millones de más deuda al Congreso y sincera ajuste a crédito a empleo por situación fiscal</w:t>
      </w:r>
    </w:p>
    <w:p>
      <w:pPr>
        <w:spacing w:before="40" w:after="60"/>
        <w:ind w:left="283"/>
      </w:pPr>
      <w:r>
        <w:rPr>
          <w:rFonts w:ascii="Arial" w:hAnsi="Arial"/>
          <w:color w:val="404040"/>
          <w:sz w:val="21"/>
        </w:rPr>
        <w:t>El ministro de Hacienda, Jorge Quiroz, presentó un proyecto de ley para aumentar el techo de endeudamiento del sector público en US$ 6.200 millones —desde US$ 17.400 millones a US$ 23.600 millones—, argumentando que el déficit fiscal se profundizó respecto a lo proyectado en el presupuesto. Quiroz también abrió la puerta a negociar dos puntos del proyecto de reactivación: reducir el plazo de la invariabilidad tributaria de 25 a 20 años y ajustar el costoso crédito tributario al empleo, que equivale a US$ 1.400 millones anuales. El ministro reiteró el objetivo de mantener el proyecto de reconstrucción en tramitación para aprobarlo en julio.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Susana Jiménez, presidenta de la CPC: ¿Medidas de reactivación? “El proyecto de ley es un primer paso. No es el único ciertamente”</w:t>
      </w:r>
    </w:p>
    <w:p>
      <w:pPr>
        <w:spacing w:before="40" w:after="60"/>
        <w:ind w:left="283"/>
      </w:pPr>
      <w:r>
        <w:rPr>
          <w:rFonts w:ascii="Arial" w:hAnsi="Arial"/>
          <w:color w:val="404040"/>
          <w:sz w:val="21"/>
        </w:rPr>
        <w:t>Aunque valoró la fuerte mención a la seguridad y la situación económica, reconoció que “donde quizás se esperaba un mayor desarrollo era en la modernización del Estado”. Para la presidenta de la Confederación de la Producción y del Comercio (CPC), Susana Jiménez, el discurso del Presidente José Antonio Kast cumplió las expectativas al relevar dos preocupaciones principales: seguridad y la situación económica, que -reconoció, sobre todo a la luz de la caída del Imacec en abril- “ha estado bastante crítica” . “Tuvo un tono conciliador, lo cual también es muy positivo, porque finalmente uno puede tener muy buenas ideas, pero todo aquello que requiere consenso y tramitación legislativa tiene que aunar voluntades y votos”, destacó.</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Tomás Rau, ministro del Trabajo: “Estamos viendo alternativas para que el impuesto al trabajo (por cotización de sala cuna) sea mínimo”</w:t>
      </w:r>
    </w:p>
    <w:p>
      <w:pPr>
        <w:spacing w:before="40" w:after="60"/>
        <w:ind w:left="283"/>
      </w:pPr>
      <w:r>
        <w:rPr>
          <w:rFonts w:ascii="Arial" w:hAnsi="Arial"/>
          <w:color w:val="404040"/>
          <w:sz w:val="21"/>
        </w:rPr>
        <w:t>El secretario de Estado aseguró que están afinando el informe financiero de los cambios junto a la Dipres, y que esta semana se definirán los parámetros para el financiamiento. “El próximo 15 de junio ingresaremos una indicación al proyecto de ley de Sala Cuna para poner fin a una barrera que, por más de 100 años, ha afectado la contratación de mujeres en Chile”. Con esas palabras el Presidente José Antonio Kast reforzó en su primera Cuenta Pública la intención del gobierno de avanzar en la materia. Y si bien no dio mayores detalles al respecto, sí lo hizo el ministro del Trabajo, Tomás Rau, en conversación con DF.</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Comercio: desempeño del sector “lejos de reflejar una recuperación consolidada”</w:t>
      </w:r>
    </w:p>
    <w:p>
      <w:pPr>
        <w:spacing w:before="40" w:after="60"/>
        <w:ind w:left="283"/>
      </w:pPr>
      <w:r>
        <w:rPr>
          <w:rFonts w:ascii="Arial" w:hAnsi="Arial"/>
          <w:color w:val="404040"/>
          <w:sz w:val="21"/>
        </w:rPr>
        <w:t>La gerenta de estudios de la CNC dijo que la pérdida de impulso se condice con la reciente baja de las ventas en la Región Metropolitana. Bernardita Silva, gerenta de estudios de la Cámara Nacional de Comercio. Como “positivo” podría calificarse el desempeño del comercio durante abril, pero está “lejos de reflejar una recuperación plenamente consolidada”, dijo la gerenta de Estudios de la Cámara Nacional de Comercio (CNC), Bernardita Silva. “Si bien el sector continúa creciendo en términos anuales y aportando al dinamismo de la actividad económica, impulsado principalmente por el ámbito digital, el rubro automotor y ciertas categorías especializadas, en el margen se observan señales de moderación”, advirtió.</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Clapes UC ve necesario pausar el ajuste fiscal y acelerar el proyecto misceláneo</w:t>
      </w:r>
    </w:p>
    <w:p>
      <w:pPr>
        <w:spacing w:before="40" w:after="60"/>
        <w:ind w:left="283"/>
      </w:pPr>
      <w:r>
        <w:rPr>
          <w:rFonts w:ascii="Arial" w:hAnsi="Arial"/>
          <w:color w:val="404040"/>
          <w:sz w:val="21"/>
        </w:rPr>
        <w:t>El centro de estudios Clapes UC planteó la necesidad de pausar el ajuste fiscal ante el deterioro de la actividad económica en abril, y llamó a acelerar la aprobación del proyecto de reconstrucción en el Congreso. El ministro Quiroz rechazó la idea de pausar el ajuste, defendiendo que las medidas apuntan a combatir el fraude social y no los beneficios legítimos. Clapes también sugirió que el Banco Central debería incorporar escenarios de recortes de tasas en el próximo IPoM, postura que no todos los economistas comparten, con algunos esperando incluso un tono más restrictivo dadas las presiones inflacionarias.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María teresa Vial, presidenta Cámara de Comercio de Santiago:“Este dato (el Imacec) pone más urgencia a la agenda de reactivación”</w:t>
      </w:r>
    </w:p>
    <w:p>
      <w:pPr>
        <w:spacing w:before="40" w:after="60"/>
        <w:ind w:left="283"/>
      </w:pPr>
      <w:r>
        <w:rPr>
          <w:rFonts w:ascii="Arial" w:hAnsi="Arial"/>
          <w:color w:val="404040"/>
          <w:sz w:val="21"/>
        </w:rPr>
        <w:t>La líder gremial valoró los anuncios de la Cuenta Pública y pidió avanzar rápidamente hacia hojas de ruta claras y acciones concretas. Para la presidenta de la Cámara de Comercio de Santiago (CCS), María Teresa Vial, la primera Cuenta Pública del Presidente José Antonio Kast entregó un diagnóstico que reconoce con claridad dos de las principales preocupaciones que, asegura, el sector viene advirtiendo desde hace tiempo: la situación fiscal del país y el deterioro del mercado laboral. Más allá de ese diagnóstico, la líder gremial valoró que el mandatario haya delineado una hoja de ruta con metas concretas, las que, a su juicio, deberán traducirse con rapidez en medidas y acciones efectivas.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EEUU reactiva tensión comercial con Brasil y propone un nuevo arancel de 25%</w:t>
      </w:r>
    </w:p>
    <w:p>
      <w:pPr>
        <w:spacing w:before="40" w:after="60"/>
        <w:ind w:left="283"/>
      </w:pPr>
      <w:r>
        <w:rPr>
          <w:rFonts w:ascii="Arial" w:hAnsi="Arial"/>
          <w:color w:val="404040"/>
          <w:sz w:val="21"/>
        </w:rPr>
        <w:t>La Oficina del Representante Comercial de EEUU (USTR) propuso un arancel de 25% a productos brasileños bajo la Sección 301, argumentando prácticas comerciales desleales en pagos digitales —con foco en el sistema Pix—, protección de propiedad intelectual y acceso al mercado del etanol. La propuesta excluye productos clave como café, carne bovina y partes de aeronaves, lo que llevó a analistas a calificar los aranceles como de impacto limitado. La medida llega cerca de un año de las elecciones presidenciales brasileñas, y el gobierno de Lula la rechazó por considerarla motivada políticamente, repitiendo la narrativa que le resultó favorable con los aranceles de 50% del año pasado.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Benjamin Netanyahu enfrenta fuertes cuestionamientos tras llamada de Donald Trump</w:t>
      </w:r>
    </w:p>
    <w:p>
      <w:pPr>
        <w:spacing w:before="40" w:after="60"/>
        <w:ind w:left="283"/>
      </w:pPr>
      <w:r>
        <w:rPr>
          <w:rFonts w:ascii="Arial" w:hAnsi="Arial"/>
          <w:color w:val="404040"/>
          <w:sz w:val="21"/>
        </w:rPr>
        <w:t>Netanyahu enfrentó críticas de aliados y opositores tras retroceder en su amenaza de bombardear Beirut luego de una llamada con Trump, quien afirmó haberle exigido abandonar los planes de una "gran incursión". Hezbolá acordó detener ataques contra Israel, y Trump declaró en Truth Social que ambas partes habían pactado un cese de hostilidades, aunque Netanyahu solo confirmó que no atacaría Beirut si Hezbolá cesaba sus ataques, sin suspender operaciones en el sur del Líbano. Los precios del petróleo Brent cayeron 1,4% hasta US$ 93,70 ante expectativas de desescalada, mientras el conflicto entre Israel e Irán sigue sin resolverse.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principales laboratorios de IA amplían la investigación sobre la “conciencia” de las máquinas</w:t>
      </w:r>
    </w:p>
    <w:p>
      <w:pPr>
        <w:spacing w:before="40" w:after="60"/>
        <w:ind w:left="283"/>
      </w:pPr>
      <w:r>
        <w:rPr>
          <w:rFonts w:ascii="Arial" w:hAnsi="Arial"/>
          <w:color w:val="404040"/>
          <w:sz w:val="21"/>
        </w:rPr>
        <w:t>Google DeepMind, Anthropic y Meta estudian si la inteligencia artificial podría llegar a ser consciente y qué implicancias tendría para los seres humanos si eso ocurriera. Las principales empresas de inteligencia artificial (IA) del mundo están destinando cada vez más recursos a una pregunta que muchos aún consideran propia de la ciencia ficción:¿qué ocurrirá si la IA llega a ser consciente? Google DeepMind, Anthropic y Metahan contratado en los últimos meses a expertos en psicología, ética y filosofía mientras amplían sus investigaciones sobre la conciencia de las máquinas y el bienestar de la IA, según varias personas familiarizadas con el asunto.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papa elige a la laica María Montserrat Alvarado como la primera mujer para dirigir la comunicación del Vaticano</w:t>
      </w:r>
    </w:p>
    <w:p>
      <w:pPr>
        <w:spacing w:before="40" w:after="60"/>
        <w:ind w:left="283"/>
      </w:pPr>
      <w:r>
        <w:rPr>
          <w:rFonts w:ascii="Arial" w:hAnsi="Arial"/>
          <w:color w:val="404040"/>
          <w:sz w:val="21"/>
        </w:rPr>
        <w:t>El papa León XIV nombró a la mexicana María Montserrat Alvarado como prefecta del Dicasterio para la Comunicación del Vaticano, a partir del 1 de noviembre de 2026, convirtiéndose en la primera mujer no religiosa en dirigir un dicasterio de la Santa Sede. Alvarado es actualmente presidenta y directora de operaciones de EWTN News, red de medios católicos que produce contenido en siete idiomas. El nombramiento continúa el camino de reforma de la Curia Romana iniciado por el papa Francisco, que ha confiado posiciones de liderazgo a laicos, tanto hombres como mujeres.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oro supera a los bonos del Tesoro de EEUU como el principal activo de reserva a nivel mundial</w:t>
      </w:r>
    </w:p>
    <w:p>
      <w:pPr>
        <w:spacing w:before="40" w:after="60"/>
        <w:ind w:left="283"/>
      </w:pPr>
      <w:r>
        <w:rPr>
          <w:rFonts w:ascii="Arial" w:hAnsi="Arial"/>
          <w:color w:val="404040"/>
          <w:sz w:val="21"/>
        </w:rPr>
        <w:t>El oro representó el 27% de las reservas mundiales de los bancos centrales a fines de 2025, superando por primera vez a los bonos del Tesoro estadounidense que cayeron al 22%, según un informe del BCE. El histórico repunte del metal —que alcanzó más de US$ 5.500 por onza troy en enero— y las compras masivas de bancos centrales, especialmente de China, Polonia, Turquía e India, impulsaron este cambio. La tendencia refleja el esfuerzo de muchos países por diversificar reservas y reducir la dependencia del dólar, intensificada desde 2022 con las sanciones a Rusia.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Trump intenta contener ofensiva de Israel en Líbano ante presión iraní</w:t>
      </w:r>
    </w:p>
    <w:p>
      <w:pPr>
        <w:spacing w:before="40" w:after="60"/>
        <w:ind w:left="283"/>
      </w:pPr>
      <w:r>
        <w:rPr>
          <w:rFonts w:ascii="Arial" w:hAnsi="Arial"/>
          <w:color w:val="404040"/>
          <w:sz w:val="21"/>
        </w:rPr>
        <w:t>Trump y Netanyahu ofrecieron versiones divergentes de una llamada telefónica sobre la escalada en Líbano: Trump afirmó haber frenado un ataque masivo sobre Beirut y que Hezbolá acordó cesar el fuego, mientras Netanyahu confirmó solo que no atacaría Beirut si Hezbolá detenía sus ataques, pero mantuvo las operaciones en el sur del Líbano. Irán amenazó con suspender el diálogo con Washington y con un cierre total del estrecho de Ormuz si continuaban los combates en Líbano, presionando por una tregua que incluya también a Hezbolá. Trump afirmó que las conversaciones con Irán avanzan a un ritmo acelerado y anticipó un posible acuerdo para la próxima semana.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Responsabilidad y reconstrucción</w:t>
      </w:r>
    </w:p>
    <w:p>
      <w:pPr>
        <w:spacing w:before="40" w:after="60"/>
        <w:ind w:left="283"/>
      </w:pPr>
      <w:r>
        <w:rPr>
          <w:rFonts w:ascii="Arial" w:hAnsi="Arial"/>
          <w:color w:val="404040"/>
          <w:sz w:val="21"/>
        </w:rPr>
        <w:t>El editorial evalúa la primera Cuenta Pública del presidente Kast en un contexto económico crítico —PIB cayendo 0,5% en el primer trimestre, Imacec de -1,2% en abril, desempleo sobre 9% y cuentas públicas más débiles de lo informado por el gobierno anterior— y destaca que el mandatario eligió responsabilidad sobre popularidad. Valora el énfasis en seguridad, con una agenda concreta de intervención en barrios críticos, lucha contra el crimen organizado y modernización penitenciaria, que retoma un eje que había quedado rezagado. Sin embargo, advierte que las metas de crecimiento al 4% y desempleo al 6% difícilmente se alcanzarán solo con las herramientas actuales, y llama a incorporar medidas complementarias de empleo, apertura internacional y modernización del Estado más allá de la reorganización ministerial.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Compensación para adultos mayores</w:t>
      </w:r>
    </w:p>
    <w:p>
      <w:pPr>
        <w:spacing w:before="40" w:after="60"/>
        <w:ind w:left="283"/>
      </w:pPr>
      <w:r>
        <w:rPr>
          <w:rFonts w:ascii="Arial" w:hAnsi="Arial"/>
          <w:color w:val="404040"/>
          <w:sz w:val="21"/>
        </w:rPr>
        <w:t>El columnista plantea que la discusión sobre exención de contribuciones para mayores de 65 años genera tensión con los municipios por su impacto en los ingresos locales, aunque existen mecanismos vigentes de rebaja del 50% al 100% para contribuyentes de bajos ingresos. Propone avanzar hacia una compensación estructural que revise las exenciones parciales existentes, de manera de entregar un alivio real a los adultos mayores sin comprometer las finanzas municipales. Esta fórmula reconocería la contribución que este grupo ha hecho al país a lo largo de su vida laboral.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Desempleo femenino</w:t>
      </w:r>
    </w:p>
    <w:p>
      <w:pPr>
        <w:spacing w:before="40" w:after="60"/>
        <w:ind w:left="283"/>
      </w:pPr>
      <w:r>
        <w:rPr>
          <w:rFonts w:ascii="Arial" w:hAnsi="Arial"/>
          <w:color w:val="404040"/>
          <w:sz w:val="21"/>
        </w:rPr>
        <w:t>La columnista María José Gutiérrez señala que las mujeres enfrentan barreras persistentes para insertarse y desarrollarse en el mercado laboral, por lo que la respuesta debe combinar creación de empleo con formación continua y flexible, alineada con las necesidades productivas. Subraya que crecimiento, productividad y empleabilidad son desafíos inseparables y que la educación juega un rol clave en abordarlos.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