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24 De Julio De 2026</w:t>
      </w:r>
    </w:p>
    <w:p>
      <w:pPr>
        <w:jc w:val="center"/>
      </w:pPr>
      <w:r>
        <w:rPr>
          <w:rFonts w:ascii="Arial" w:hAnsi="Arial"/>
          <w:color w:val="999999"/>
          <w:sz w:val="20"/>
        </w:rPr>
        <w:t>5 secciones  ·  20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Wall Street abre con leves movimientos mixtos ante retroceso del petróleo que lo aleja de los US$ 100 el barril</w:t>
      </w:r>
    </w:p>
    <w:p>
      <w:pPr>
        <w:spacing w:before="40" w:after="60"/>
        <w:ind w:left="283"/>
      </w:pPr>
      <w:r>
        <w:rPr>
          <w:rFonts w:ascii="Arial" w:hAnsi="Arial"/>
          <w:color w:val="404040"/>
          <w:sz w:val="21"/>
        </w:rPr>
        <w:t>En Chile, el S&amp;P IPSA comenzaba sus operaciones levemente al alza. Las bolsas del mundo buscaban los números azules en la apertura tras una semana marcada por retrocesos ante un aumento de las tensiones en Medio Oriente y en medio de un retroceso de petróleo que vuelve a niveles por debajo de los US$ 100 el barril. En Wall Street, los principales índices abrían con leves movimientos mixtos: el Nasdaq caía 0,52%, el S&amp;P 500 operaba plano y el Dow Jones subía 0,2%. La Bolsa de Nueva York se encamina a cerrar una semana de retrocesos ante el deterioro del conflicto entre EEUU e Irán, que amenaza con un nuevo frente inflacionario.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dólar baja en la apertura en medio de respiro en la escalada en los precios del petróleo</w:t>
      </w:r>
    </w:p>
    <w:p>
      <w:pPr>
        <w:spacing w:before="40" w:after="60"/>
        <w:ind w:left="283"/>
      </w:pPr>
      <w:r>
        <w:rPr>
          <w:rFonts w:ascii="Arial" w:hAnsi="Arial"/>
          <w:color w:val="404040"/>
          <w:sz w:val="21"/>
        </w:rPr>
        <w:t>Los precios de los futuros del petróleo caían cerca de un 3% el viernes, pero siguen apuntando a importantes ganancias semanales debido a la preocupación por la interrupción de los flujos energéticos en el mar Rojo y al temor a una mayor escalada en la guerra de Estados Unidos e Israel contra Irán. El dólar bajaba en la apertura del viernes en el mercado cambiario chileno,tras los máximos en nueve meses que marcó en la víspera, en medio de un respiro en la escalada del petróleo y una recuperación en el precio del cobre. Además, el mercado internalizaba el nuevo frente de tensión arancelaria luego dela decisión del gobierno de Donald Trump de subir el arancel de Chile y otros países a 12,5%. En los primeros negocios,el dólar cotizaba a $945,85, con un descenso de $ 1,8desde el cierre del jueves, según los precios en Bloomberg. El dollar index casi no registraba variaciones, mientras que el referencial de futuros del cobre Comex subía 0,16%, a US$ 6,35 por libra.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petróleo se modera tras superar los US$ 100 por barril luego del ataque que expande la guerra entre EEUU e Irán al mar Rojo</w:t>
      </w:r>
    </w:p>
    <w:p>
      <w:pPr>
        <w:spacing w:before="40" w:after="60"/>
        <w:ind w:left="283"/>
      </w:pPr>
      <w:r>
        <w:rPr>
          <w:rFonts w:ascii="Arial" w:hAnsi="Arial"/>
          <w:color w:val="404040"/>
          <w:sz w:val="21"/>
        </w:rPr>
        <w:t>Los hutíes, grupo respaldado por Irán, atacaron dos embarcaciones sauditas. La presión simultánea sobre los estrechos de Bab el-Mandeb y Ormuz impulsa la nueva alza del crudo. El bloqueo hutí a los sauditas fue anunciado el lunes y este jueves se concretaron los primeros ataques. Foto: Reuters La guerra entre Estados Unidos e Irán dejó de estar concentrada en el Golfo Pérsico y el estrecho de Ormuz.Los ataques reivindicados por los hutíes contra dos petroleros saudíestrasladaron las hostilidades al mar Rojo, amenazando una segunda arteria fundamental para el comercio energético yllevaron al crudo Brent el jueves nuevamente sobre los US$ 100 por barril, umbral que no sobrepasaba desde el 22 de mayo, aunque el viernes moderaban su precio.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¿Por qué el mercado castigó los papeles de Alphabet y Tesla tras sus resultados del segundo trimestre?</w:t>
      </w:r>
    </w:p>
    <w:p>
      <w:pPr>
        <w:spacing w:before="40" w:after="60"/>
        <w:ind w:left="283"/>
      </w:pPr>
      <w:r>
        <w:rPr>
          <w:rFonts w:ascii="Arial" w:hAnsi="Arial"/>
          <w:color w:val="404040"/>
          <w:sz w:val="21"/>
        </w:rPr>
        <w:t>Las acciones retrocedieron 15% y 7% respectivamente, en un escenario en que los inversionistas están exigiendo mayores retornos y generación de caja para ambas firmas. Las acciones de Tesla y Alphabet cerraron este miércoles con fuertes caídas, pese a que ambas compañías presentaron resultados trimestrales que, en términos generales, estuvieron en línea con las expectativas del mercado. El retroceso reflejó una señal cada vez más clara desde Wall Street: ya no basta con crecer impulsado por la Inteligencia Artificial (IA), sino que los inversionistas exigen que esa expansión se traduzca en rentabilidad y generación de caja.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Caso Sartor: Redwood Capital, la sociedad de Clark involucrada en la causa que asesoró a Nexus, Javier Said y Ñublense</w:t>
      </w:r>
    </w:p>
    <w:p>
      <w:pPr>
        <w:spacing w:before="40" w:after="60"/>
        <w:ind w:left="283"/>
      </w:pPr>
      <w:r>
        <w:rPr>
          <w:rFonts w:ascii="Arial" w:hAnsi="Arial"/>
          <w:color w:val="404040"/>
          <w:sz w:val="21"/>
        </w:rPr>
        <w:t>Reveló que parte de sus clientes también buscaron financiamientos de fondos de la AGF, mientras él se desempeñaba como asesor de la gestora. El exdirector de Sartor AGF e imputado en la causa, Michael Clark. FOTO: PHOTOSPORT Al estallar el caso Sartor, parte de las miradas del mercado se concentraron en Redwood Capital, sociedad ligada al exdirector de Sartor AGF, Michael Clark, identificada por la Comisión para el Mercado Financiero (CMF) comoreceptora de préstamos desde fondos de la gestora.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Gobierno evalúa incorporar la supervisión basada en riesgo para las aseguradoras en reforma de MK</w:t>
      </w:r>
    </w:p>
    <w:p>
      <w:pPr>
        <w:spacing w:before="40" w:after="60"/>
        <w:ind w:left="283"/>
      </w:pPr>
      <w:r>
        <w:rPr>
          <w:rFonts w:ascii="Arial" w:hAnsi="Arial"/>
          <w:color w:val="404040"/>
          <w:sz w:val="21"/>
        </w:rPr>
        <w:t>En 2011 se ingresó un proyecto de ley al respecto y actualmente se encuentra en el Senado. El proyecto de ley de supervisión basada en riesgo para las compañías de seguros es una iniciativa que la industria espera que se despache desde el Congreso. El proyecto ingresó a la Cámara de Diputados en noviembre de 2011 y, pese a ser despachado al Senado en octubre de 2012, todavía no logra ver la luz.</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Junta de acreedores de Edyce resuelve aprobar el Acuerdo de Reorganización Judicial de la manufacturera de Biobío</w:t>
      </w:r>
    </w:p>
    <w:p>
      <w:pPr>
        <w:spacing w:before="40" w:after="60"/>
        <w:ind w:left="283"/>
      </w:pPr>
      <w:r>
        <w:rPr>
          <w:rFonts w:ascii="Arial" w:hAnsi="Arial"/>
          <w:color w:val="404040"/>
          <w:sz w:val="21"/>
        </w:rPr>
        <w:t>“La aprobación del acuerdo marca el inicio de una nueva etapa para Edyce, con su estructura financiera ordenada, sus operaciones continuas y capacidades técnicas e industriales intactas”, celebró la empresa a través de un comunicado. Tras dos postergaciones, la junta de acreedores de Edyce, una de las mayores productoras nacionales de estructuras metálicas, finalmente acordó este viernes aprobar el Acuerdo de Reorganización Judicial (ARJ)de la compañía con 75 años de historia en la Región de Biobío. El ARJ permitirá a la empresa asegurar su continuidad en el largo plazo y el resguardo de sus cerca de 350 trabajadores.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Superintendente de Servicios Sanitarios: “Vamos a tener que subir los estándares para construir más infraestructura”</w:t>
      </w:r>
    </w:p>
    <w:p>
      <w:pPr>
        <w:spacing w:before="40" w:after="60"/>
        <w:ind w:left="283"/>
      </w:pPr>
      <w:r>
        <w:rPr>
          <w:rFonts w:ascii="Arial" w:hAnsi="Arial"/>
          <w:color w:val="404040"/>
          <w:sz w:val="21"/>
        </w:rPr>
        <w:t>El último balance de Colliers cifra en US$ 700 millones los daños por los temporales. En ese contexto, el titular de la SISS advirtió que será necesario revisar las inversiones. Los efectos del sistema frontal que golpeó a las regiones de Atacama y Coquimbo resultaron ser mucho mayores de lo previsto. Así lo reconoce el superintendente de Servicios Sanitarios (SISS), Jorge Rivas, quien llegó el sábado a la zona para monitorear en terreno la emergencia y, varios días después, todavía no sabe cuándo podrá regresar a Santiago. La magnitud de los daños obligó a mantener un despliegue permanente de la autoridad junto a las empresas sanitarias para restablecer el suministro de agua potable y evaluar las consecuencias sobre la infraestructura.Plantas de producción dañadas, pozos inutilizados, tuberías destruidas y sistemas operando con soluciones de emergencia marcaron una contingencia que, a juicio de Rivas, obligará a revisar los estándares con que hoy se diseña la infraestructura sanitaria.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Pellegrini &amp; Rencoret suma a Bernardo Aylwin como socio</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Guerrero Olivos ficha a exPPU Guillermo Infante como socio tributario</w:t>
      </w:r>
    </w:p>
    <w:p>
      <w:pPr>
        <w:spacing w:before="40" w:after="60"/>
        <w:ind w:left="283"/>
      </w:pPr>
      <w:r>
        <w:rPr>
          <w:rFonts w:ascii="Arial" w:hAnsi="Arial"/>
          <w:color w:val="404040"/>
          <w:sz w:val="21"/>
        </w:rPr>
        <w:t>Guerrero Olivos incorporó a Guillermo Infante como nuevo socio para liderar su práctica tributaria. El abogado llega desde Philippi Prietocarrizosa Ferrero DU &amp; Uría (PPU), donde era socio desde 2010, y cuenta con experiencia en reorganizaciones empresariales, tributación internacional y operaciones corporativas complejas. Es titulado en la Pontificia Universidad Católica de Chile, tiene un LL.M. en Tributación de Georgetown University y trabajó en Cleary Gottlieb Steen &amp; Hamilton. Con su llegada, la firma alcanza los 25 socios.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Chile firma acuerdo comercial con Filipinas y profundiza relación con sudeste asiático</w:t>
      </w:r>
    </w:p>
    <w:p>
      <w:pPr>
        <w:spacing w:before="40" w:after="60"/>
        <w:ind w:left="283"/>
      </w:pPr>
      <w:r>
        <w:rPr>
          <w:rFonts w:ascii="Arial" w:hAnsi="Arial"/>
          <w:color w:val="404040"/>
          <w:sz w:val="21"/>
        </w:rPr>
        <w:t>Con este tratado, el número 37 del país, se complementa la red de acuerdos comerciales que nuestro país mantiene con esta región con Tailandia, Singapur, Vietnam, Malasia e Indonesia. La cancillería anunció este viernes que concluyeron las negociaciones para el Acuerdo de Asociación Económica Integral (CEPA, por sus siglas en inglés) con Filipinas, esto tras un año de negociaciones y que permitirá profundizar las relaciones económicas y comerciales entre ambos países. Con este tratado, el número 37 de Chile, se complementa la red de acuerdos comerciales que nuestro país mantiene con esta región con Tailandia, Singapur, Vietnam, Malasia e Indonesia.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Actas del CFA revelan discrepancias entre consejeros sobre cómo abordar el nivel de deuda del gobierno de Boric</w:t>
      </w:r>
    </w:p>
    <w:p>
      <w:pPr>
        <w:spacing w:before="40" w:after="60"/>
        <w:ind w:left="283"/>
      </w:pPr>
      <w:r>
        <w:rPr>
          <w:rFonts w:ascii="Arial" w:hAnsi="Arial"/>
          <w:color w:val="404040"/>
          <w:sz w:val="21"/>
        </w:rPr>
        <w:t>Hermann González criticó la forma en que el Consejo comunicó su postura y los énfasis que puso en el debate respecto de las proyecciones de deuda pública realizadas por la administración anterior. La diferencia se generó en sesión extraordinaria del Consejo del 3 de julio pasado. Foto: Aton. Las actas de la sesión extraordinaria del Consejo Fiscal Autónomo (CFA) celebrada el 3 de juliopasado revelarondiferencias entre los consejeros respecto a la forma de abordar el nivel de deuda de la administración anterior.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Crédito tributario al empleo: cómo quedó y cómo funcionará una de las medidas emblemáticas del proyecto de reconstrucción</w:t>
      </w:r>
    </w:p>
    <w:p>
      <w:pPr>
        <w:spacing w:before="40" w:after="60"/>
        <w:ind w:left="283"/>
      </w:pPr>
      <w:r>
        <w:rPr>
          <w:rFonts w:ascii="Arial" w:hAnsi="Arial"/>
          <w:color w:val="404040"/>
          <w:sz w:val="21"/>
        </w:rPr>
        <w:t>Especialistas ven potencial para la industria tecnológica, pero explican que mucho de su impacto depende se varias instituciones, como Aduanas y el SII. Uno de los cambios que comenzará a regir apenas se publique la ley de reconstrucción nacional en el Diario Oficial es el nuevo crédito al empleo. Sin embargo, el mecanismo que finalmente verá la luz poco se parece al que el Ejecutivo presentó originalmente. Tras una serie de modificaciones durante la discusión legislativa, el beneficio dejó de ser un incentivo amplio a la contratación de mujeres, jóvenes y otros grupos prioritarios para transformarse en un crédito tributario destinado exclusivamente a empresas que exporten servicios basados en el conocimiento.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Mercado anticipa que el Banco Central mantendrá la tasa en reunión de la próxima semana</w:t>
      </w:r>
    </w:p>
    <w:p>
      <w:pPr>
        <w:spacing w:before="40" w:after="60"/>
        <w:ind w:left="283"/>
      </w:pPr>
      <w:r>
        <w:rPr>
          <w:rFonts w:ascii="Arial" w:hAnsi="Arial"/>
          <w:color w:val="404040"/>
          <w:sz w:val="21"/>
        </w:rPr>
        <w:t>De cara a que el próximo martes se realizará la Reunión de Política Monetaria el consenso es que el Banco Central mantendrá la tasa en su nivel de 4,5%. Así lo mostró la última Encuesta Operadores Financieros (EOF) del ente rector dada a conocer este jueves, en la cual el promedio del sondeo es que el tipo rector no registrará movimientos desde julio hasta los próximos 24 meses en adelante. En cuanto a inflación, los encuestados prevén que en julio el Índice de Precios al Consumidor (IPC) aumentará 0,1% mensual para luego acelerarse a 0,3% en agosto y a 0,5% en septiembre, respectivamente. De esta manera, la estimación promedio es que en 12 meses la inflación llegue a 3%, es decir, a la meta del Banco Central, y persista en ese punto en los próximos 12 meses.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Santander recorta proyección de PIB 2026 a cerca de 1%</w:t>
      </w:r>
    </w:p>
    <w:p>
      <w:pPr>
        <w:spacing w:before="40" w:after="60"/>
        <w:ind w:left="283"/>
      </w:pPr>
      <w:r>
        <w:rPr>
          <w:rFonts w:ascii="Arial" w:hAnsi="Arial"/>
          <w:color w:val="404040"/>
          <w:sz w:val="21"/>
        </w:rPr>
        <w:t>Un recorte en la proyección de crecimiento para el presente año realizó el área de estudios del Banco Santander. De acuerdo al informe mensual de la entidad, los “nuevos datos apuntan a una economía más cerca de expandirse 1% este año”. “La actividad sigue débil y el mercado laboral continúa deteriorándose. El Imacec de mayo acumuló cinco caídas interanuales consecutivas, con minería y pesca como principales lastres, mientras el desempleo desestacionalizado sube a 9,2%”, expuso el reporte del área liderada por Andrés Sansone al explicar la reducción respecto al 1,5% previo. No obstante, plantearon que las perspectivas para 2027 “siguen siendo más favorables, apoyadas por la inversión y una menor base de comparación”.</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Fundación Chile inicia desinversión de CLIN y anuncia dos nuevos fondos para startups</w:t>
      </w:r>
    </w:p>
    <w:p>
      <w:pPr>
        <w:spacing w:before="40" w:after="60"/>
        <w:ind w:left="283"/>
      </w:pPr>
      <w:r>
        <w:rPr>
          <w:rFonts w:ascii="Arial" w:hAnsi="Arial"/>
          <w:color w:val="404040"/>
          <w:sz w:val="21"/>
        </w:rPr>
        <w:t>ChileGlobal Ventures, su brazo de inversión, vendió su posición en Wareclouds y negocia dos salidas más. En paralelo, alista un fondo ángel, otro con tickets de hasta US$ 10 millones y una fábrica de startups de IA. Eduardo Gomien, principal de ChileGlobal Ventures. Foto: Julio Castro ChileGlobal Ventures, brazo de inversión de Fundación Chile (FCh), redoblará su apuesta por las startups. Acaba de iniciar el proceso de desinversión de su primer fondo CLIN y alista dos nuevos vehículos de capital de riesgo y una fábrica de empresas emergentes basadas en inteligencia artificial (IA).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ALZAS, MEPCO Y HACIENDA</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Ordenamiento territorial e infraestructura</w:t>
      </w:r>
    </w:p>
    <w:p>
      <w:pPr>
        <w:spacing w:before="40" w:after="60"/>
        <w:ind w:left="283"/>
      </w:pPr>
      <w:r>
        <w:rPr>
          <w:rFonts w:ascii="Arial" w:hAnsi="Arial"/>
          <w:color w:val="404040"/>
          <w:sz w:val="21"/>
        </w:rPr>
        <w:t>La reciente carta de ChileCarne sobre el futuro de la carne acierta al señalar que las normas de ordenamiento territorial serán claves para compatibilizar la actividad económica en los sectores rurales. Cabe agregar una dimensión sin la cual ese objetivo no se sostiene: la infraestructura. Ordenar el territorio no es solo un desafío normativo. Es, en el fondo, decidir dónde y cómo llega la conectividad vial, portuaria, hídrica y energética que hace posible producir, exportar y convivir con las comunidades. No se compatibilizan usos del suelo sin la infraestructura habilitante que sostiene esa coexistencia. Lo mismo ocurre con la certeza jurídica. La incertidumbre regulatoria que traba nuevos proyectos de infraestructura es la misma que hoy encarece y frena la actividad productiva rural. Avanzar hacia un marco que otorgue previsibilidad beneficia a ambos por igual y, con ello, a la competitividad del país.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Resiliencia financiera ante desastres naturales</w:t>
      </w:r>
    </w:p>
    <w:p>
      <w:pPr>
        <w:spacing w:before="40" w:after="60"/>
        <w:ind w:left="283"/>
      </w:pPr>
      <w:r>
        <w:rPr>
          <w:rFonts w:ascii="Arial" w:hAnsi="Arial"/>
          <w:color w:val="404040"/>
          <w:sz w:val="21"/>
        </w:rPr>
        <w:t>Según el catastro de la consultora Colliers dado a conocer esta semana, los daños provocados por el sistema frontal ya bordean los US$ 400 millones (una estimación preliminar que ha seguido en aumento a medida que avanza la emergencia). Una cifra que muestra que los efectos de estas emergencias no terminan cuando deja de llover, después viene el desafío de reparar viviendas, recuperar infraestructura y restablecer la actividad de familias y empresas. A ello se suma otra vulnerabilidad, gran parte de la infraestructura pública esencial del país —establecimientos de salud, educación y otros servicios públicos, avaluada en más de US$ 6.500 millones (Itrend, 2022)— no cuenta con recursos propios para reparaciones o restablecimientos. Por lo tanto, cuando uno de esos activos resulta dañado, se depende directamente de los recursos fiscales disponibles. El aumento de emergencias por temas de la naturaleza en los últimos años demuestra que no basta con prepararse para responder mientras ocurre la catástrofe, también es necesario anticipar cómo se financiará la recuperación. Lo anterior, implica no solo invertir en prevención e infraestructura resiliente, sino que también tener fondos de emergencia, líneas de financiamiento contingente y seguros que distribuyan parte de los costos antes de la catástrofe.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Estatuto laboral para el turismo</w:t>
      </w:r>
    </w:p>
    <w:p>
      <w:pPr>
        <w:spacing w:before="40" w:after="60"/>
        <w:ind w:left="283"/>
      </w:pPr>
      <w:r>
        <w:rPr>
          <w:rFonts w:ascii="Arial" w:hAnsi="Arial"/>
          <w:color w:val="404040"/>
          <w:sz w:val="21"/>
        </w:rPr>
        <w:t>El estatuto laboral para el turismo constituye una oportunidad para fortalecer la competitividad de una industria que aporta al empleo, la inversión y el desarrollo regional. El proyecto mantiene la jornada semanal y los derechos de los trabajadores, pero incorpora una distribución más acorde con la estacionalidad y las fluctuaciones propias del sector. Hoy lo vemos con claridad en la temporada de nieve, cuya alta demanda se concentra en apenas tres o cuatro meses del año, lo que exige una planificación laboral distinta a la de otros sectores de la economía. En un contexto de desaceleración económica y desafíos en el mercado laboral, avanzar en esta iniciativa permitirá impulsar el empleo formal, reducir la rotación y entregar mayor estabilidad tanto a trabajadores como a empleadores. Contar con una regulación que responda a la realidad del turismo es un paso necesario para que Chile fortalezca una actividad con alto potencial de crecimiento y generación de valor para la economía.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24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