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960"/>
        <w:jc w:val="left"/>
      </w:pPr>
    </w:p>
    <w:p>
      <w:pPr>
        <w:spacing w:after="120"/>
        <w:jc w:val="center"/>
      </w:pPr>
      <w:r>
        <w:rPr>
          <w:rFonts w:ascii="Arial" w:hAnsi="Arial"/>
          <w:b/>
          <w:color w:val="1F4E79"/>
          <w:sz w:val="60"/>
        </w:rPr>
        <w:t>DIARIO FINANCIERO</w:t>
      </w:r>
    </w:p>
    <w:p>
      <w:pPr>
        <w:spacing w:after="80"/>
        <w:jc w:val="center"/>
      </w:pPr>
      <w:r>
        <w:rPr>
          <w:rFonts w:ascii="Arial" w:hAnsi="Arial"/>
          <w:b w:val="0"/>
          <w:color w:val="404040"/>
          <w:sz w:val="32"/>
        </w:rPr>
        <w:t>Resumen Ejecutivo del Día</w:t>
      </w:r>
    </w:p>
    <w:p>
      <w:pPr>
        <w:spacing w:after="200"/>
        <w:jc w:val="center"/>
      </w:pPr>
      <w:r>
        <w:rPr>
          <w:rFonts w:ascii="Arial" w:hAnsi="Arial"/>
          <w:color w:val="2E75B6"/>
          <w:sz w:val="26"/>
        </w:rPr>
        <w:t>3 De Septiembre De 2026</w:t>
      </w:r>
    </w:p>
    <w:p>
      <w:pPr>
        <w:jc w:val="center"/>
      </w:pPr>
      <w:r>
        <w:rPr>
          <w:rFonts w:ascii="Arial" w:hAnsi="Arial"/>
          <w:color w:val="999999"/>
          <w:sz w:val="20"/>
        </w:rPr>
        <w:t>6 secciones  ·  21 artículos</w:t>
      </w:r>
    </w:p>
    <w:p>
      <w:pPr>
        <w:spacing w:before="0" w:after="0"/>
      </w:pPr>
      <w:r>
        <w:br w:type="page"/>
      </w:r>
    </w:p>
    <w:p>
      <w:pPr>
        <w:spacing w:before="0" w:after="240"/>
      </w:pPr>
      <w:r>
        <w:rPr>
          <w:rFonts w:ascii="Arial" w:hAnsi="Arial"/>
          <w:b/>
          <w:color w:val="1F4E79"/>
          <w:sz w:val="28"/>
        </w:rPr>
        <w:t>ÍNDICE</w:t>
      </w:r>
    </w:p>
    <w:p>
      <w:pPr>
        <w:spacing w:before="0" w:after="0"/>
      </w:pPr>
      <w:r>
        <w:fldChar w:fldCharType="begin"/>
        <w:instrText xml:space="preserve"> TOC \o "1-2" \h \z \u </w:instrText>
        <w:fldChar w:fldCharType="separate"/>
      </w:r>
      <w:r>
        <w:rPr>
          <w:rFonts w:ascii="Arial" w:hAnsi="Arial"/>
          <w:i/>
          <w:color w:val="999999"/>
          <w:sz w:val="20"/>
        </w:rPr>
        <w:t>[ Presiona Ctrl+A y luego F9 para actualizar el índice ]</w:t>
      </w:r>
      <w:r>
        <w:fldChar w:fldCharType="end"/>
      </w:r>
    </w:p>
    <w:p>
      <w:pPr>
        <w:spacing w:before="0" w:after="0"/>
      </w:pPr>
      <w:r>
        <w:br w:type="page"/>
      </w:r>
    </w:p>
    <w:p>
      <w:pPr>
        <w:pStyle w:val="Heading1"/>
        <w:shd w:val="clear" w:color="auto" w:fill="1F4E79"/>
        <w:spacing w:before="320" w:after="160"/>
        <w:ind w:left="227"/>
      </w:pPr>
      <w:r>
        <w:rPr>
          <w:rFonts w:ascii="Arial" w:hAnsi="Arial"/>
          <w:b/>
          <w:color w:val="FFFFFF"/>
          <w:sz w:val="26"/>
        </w:rPr>
        <w:t>MERCADOS</w:t>
      </w:r>
    </w:p>
    <w:p>
      <w:pPr>
        <w:pStyle w:val="Heading2"/>
        <w:spacing w:before="200" w:after="80"/>
      </w:pPr>
      <w:r>
        <w:rPr>
          <w:rFonts w:ascii="Arial" w:hAnsi="Arial"/>
          <w:b/>
          <w:color w:val="2E75B6"/>
          <w:sz w:val="22"/>
        </w:rPr>
        <w:t xml:space="preserve">1.  </w:t>
      </w:r>
      <w:r>
        <w:rPr>
          <w:rFonts w:ascii="Arial" w:hAnsi="Arial"/>
          <w:b/>
          <w:color w:val="1F4E79"/>
          <w:sz w:val="22"/>
        </w:rPr>
        <w:t>Fondos generacionales podrían llevar más de US$ 7.000 millones a la bolsa chilena</w:t>
      </w:r>
    </w:p>
    <w:p>
      <w:pPr>
        <w:spacing w:before="40" w:after="60"/>
        <w:ind w:left="283"/>
      </w:pPr>
      <w:r>
        <w:rPr>
          <w:rFonts w:ascii="Arial" w:hAnsi="Arial"/>
          <w:color w:val="404040"/>
          <w:sz w:val="21"/>
        </w:rPr>
        <w:t>JPMorgan estima que la implementación de los fondos generacionales —cuyo régimen definitivo fue publicado esta semana y regirá desde el 1 de abril de 2027— podría inyectar entre US$3.000 y US$7.000 millones en acciones de la bolsa chilena, dependiendo de cuán cerca de la parte alta de las nuevas bandas de inversión operen las AFP. El nuevo esquema reemplaza los multifondos con 10 fondos agrupados por año de nacimiento, permitiendo a los cohortes más jóvenes mayor exposición a activos de crecimiento, incluida la renta variable local, que actualmente representa el 9,6% de los US$246.100 millones administrados por las AFP. La distribución exacta de los flujos dependerá de los índices de referencia que aún no ha definido la Superintendencia de Pensiones, lo que podría generar compras selectivas en ciertos papeles en lugar de alzas generalizadas. Las AFP con mayor presencia en acciones como SQM-B (26,4%), Embonor-B (24,5%) y Mallplaza (23,2%) serán las más expuestas a los ajustes de portafolio.</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Bolsa chilena pierde sus recientes máximos y Wall Street abre con nueva alza tras comentarios desde la Fed</w:t>
      </w:r>
    </w:p>
    <w:p>
      <w:pPr>
        <w:spacing w:before="40" w:after="60"/>
        <w:ind w:left="283"/>
      </w:pPr>
      <w:r>
        <w:rPr>
          <w:rFonts w:ascii="Arial" w:hAnsi="Arial"/>
          <w:color w:val="404040"/>
          <w:sz w:val="21"/>
        </w:rPr>
        <w:t>El IPSA retrocedió 0,2% hasta los 11.534 puntos en la apertura del jueves, afectado principalmente por la caída de SQM-B (-1,7%), luego de cerrar el miércoles en máximos de siete meses impulsado por un rally latinoamericano. En contraste, Wall Street avanzaba con el Dow Jones subiendo 0,7% y el S&amp;P 500 con el Nasdaq sumando 0,4%, respaldados por declaraciones del gobernador de la Fed Christopher Waller que mostraron cautela y disposición a mantener tasas si la inflación sigue convergiendo al 2%. Las tensiones en Medio Oriente continuaron presionando el petróleo Brent hacia US$96 por barril tras nuevos ataques iraníes en el estrecho de Ormuz y la respuesta militar de Estados Unidos, mientras el dólar se debilitaba globalmente por especulaciones sobre intervención del gobierno japonés en el yen.</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Dólar abre a la baja mientras la divisa recibe un fuerte golpe a nivel externo por una posible intervención sobre el yen japonés</w:t>
      </w:r>
    </w:p>
    <w:p>
      <w:pPr>
        <w:spacing w:before="40" w:after="60"/>
        <w:ind w:left="283"/>
      </w:pPr>
      <w:r>
        <w:rPr>
          <w:rFonts w:ascii="Arial" w:hAnsi="Arial"/>
          <w:color w:val="404040"/>
          <w:sz w:val="21"/>
        </w:rPr>
        <w:t>El dólar bajó $3,3 hasta $935,9 en la apertura del mercado local, interrumpiendo siete jornadas consecutivas al alza que lo habían llevado a máximos de cinco semanas. La caída respondió principalmente a la fuerte apreciación del yen japonés (1,7%), impulsada por especulaciones de intervención cambiaria del gobierno nipón —posiblemente coordinada con Washington— y por declaraciones del consejero del Banco de Japón Hajime Takata, quien insinuó una posible alza de tasas superior a los 25 puntos base que descuenta el mercado. El cobre avanzó 0,4% hasta US$6,47 por libra, favorecido por el debilitamiento del dólar, el tono optimista del gobernador de la Fed sobre la inflación y el rebote del PMI de servicios de China a 51,4 puntos en agosto, por encima de las expectativas de 50,6.</w:t>
      </w:r>
    </w:p>
    <w:p>
      <w:pPr>
        <w:pBdr>
          <w:bottom w:val="single" w:sz="4" w:space="1" w:color="BDD7EE"/>
        </w:pBdr>
        <w:spacing w:before="80" w:after="80"/>
      </w:pPr>
    </w:p>
    <w:p>
      <w:pPr>
        <w:pStyle w:val="Heading2"/>
        <w:spacing w:before="200" w:after="80"/>
      </w:pPr>
      <w:r>
        <w:rPr>
          <w:rFonts w:ascii="Arial" w:hAnsi="Arial"/>
          <w:b/>
          <w:color w:val="2E75B6"/>
          <w:sz w:val="22"/>
        </w:rPr>
        <w:t xml:space="preserve">4.  </w:t>
      </w:r>
      <w:r>
        <w:rPr>
          <w:rFonts w:ascii="Arial" w:hAnsi="Arial"/>
          <w:b/>
          <w:color w:val="1F4E79"/>
          <w:sz w:val="22"/>
        </w:rPr>
        <w:t>Superintendente Cortez y nuevo esquema de inversión de las AFP: “Es mejor que lo que había”</w:t>
      </w:r>
    </w:p>
    <w:p>
      <w:pPr>
        <w:spacing w:before="40" w:after="60"/>
        <w:ind w:left="283"/>
      </w:pPr>
      <w:r>
        <w:rPr>
          <w:rFonts w:ascii="Arial" w:hAnsi="Arial"/>
          <w:color w:val="404040"/>
          <w:sz w:val="21"/>
        </w:rPr>
        <w:t>Omar Larré, cofundador y gerente de inversiones de Fintual: “No queremos darle tantas vueltas (a nuestra entrada al negocio), el régimen era la última etapa de evaluación” para tomar la decisión</w:t>
      </w:r>
    </w:p>
    <w:p>
      <w:pPr>
        <w:spacing w:before="0" w:after="80"/>
        <w:jc w:val="left"/>
      </w:pPr>
    </w:p>
    <w:p>
      <w:pPr>
        <w:pStyle w:val="Heading1"/>
        <w:shd w:val="clear" w:color="auto" w:fill="1F4E79"/>
        <w:spacing w:before="320" w:after="160"/>
        <w:ind w:left="227"/>
      </w:pPr>
      <w:r>
        <w:rPr>
          <w:rFonts w:ascii="Arial" w:hAnsi="Arial"/>
          <w:b/>
          <w:color w:val="FFFFFF"/>
          <w:sz w:val="26"/>
        </w:rPr>
        <w:t>EMPRESAS</w:t>
      </w:r>
    </w:p>
    <w:p>
      <w:pPr>
        <w:pStyle w:val="Heading2"/>
        <w:spacing w:before="200" w:after="80"/>
      </w:pPr>
      <w:r>
        <w:rPr>
          <w:rFonts w:ascii="Arial" w:hAnsi="Arial"/>
          <w:b/>
          <w:color w:val="2E75B6"/>
          <w:sz w:val="22"/>
        </w:rPr>
        <w:t xml:space="preserve">1.  </w:t>
      </w:r>
      <w:r>
        <w:rPr>
          <w:rFonts w:ascii="Arial" w:hAnsi="Arial"/>
          <w:b/>
          <w:color w:val="1F4E79"/>
          <w:sz w:val="22"/>
        </w:rPr>
        <w:t>Se definen los cargos más codiciados del sector eléctrico: Humberto Espejo pone fin a la era de Juan Carlos Olmedo y será el nuevo presidente del Coordinador</w:t>
      </w:r>
    </w:p>
    <w:p>
      <w:pPr>
        <w:spacing w:before="40" w:after="60"/>
        <w:ind w:left="283"/>
      </w:pPr>
      <w:r>
        <w:rPr>
          <w:rFonts w:ascii="Arial" w:hAnsi="Arial"/>
          <w:color w:val="404040"/>
          <w:sz w:val="21"/>
        </w:rPr>
        <w:t>El Comité Especial de Nominaciones designó a Humberto Espejo como próximo presidente del Consejo Directivo del Coordinador Eléctrico Nacional, cargo que asumirá el 11 de octubre de 2026 y ocupará hasta 2031, poniendo fin al mandato de Juan Carlos Olmedo, quien presidía el organismo desde noviembre de 2018. Junto a Espejo, fueron designados como nuevos consejeros Claudia Rahmann —quien lideró la investigación del apagón masivo del año pasado— y Eric Ahumada, con más de 20 años de experiencia en el sector, completando un consejo que también integran Bernardita Espinoza y Carlos Finat. El proceso de selección, iniciado el 2 de junio, evaluó a 57 postulantes de los cuales 14 llegaron a la etapa final de entrevistas. Los cargos son considerados los más codiciados del sector eléctrico, con remuneraciones que superan los $25 millones mensuales para el presidente y $22 millones para los consejeros.</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CEO de Transelec admite que “ya no va” intento de accionista chino de tomar el control: “Somos una compañía sólida y atractiva para cualquier inversionista”</w:t>
      </w:r>
    </w:p>
    <w:p>
      <w:pPr>
        <w:spacing w:before="40" w:after="60"/>
        <w:ind w:left="283"/>
      </w:pPr>
      <w:r>
        <w:rPr>
          <w:rFonts w:ascii="Arial" w:hAnsi="Arial"/>
          <w:color w:val="404040"/>
          <w:sz w:val="21"/>
        </w:rPr>
        <w:t>Sobre los pendientes en transmisión, Arturo Le Blanc apostó a que el Estado se involucre y les dé prioridad dado que están desarrollando estratégicos para el país. Arturo Le Blanc, gerente general de Transelec. Foto: Julio Castro Un proceso que iba y venía. Así se mantuvo el intento de China Southern Power Grid de tomar el control de Transelec, la principal empresa de transmisión eléctrica de Chile, hasta que a inicios de junio la asiática desistió de la compra, según Bloomberg. En parte, según comentaron a dicho medio personas familiarizadas con el asunto, para evitar posibles objeciones de Washington.</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Grupo CAP se suma a la tendencia y pone a la venta su filial de líneas de transmisión eléctrica</w:t>
      </w:r>
    </w:p>
    <w:p>
      <w:pPr>
        <w:spacing w:before="40" w:after="60"/>
        <w:ind w:left="283"/>
      </w:pPr>
      <w:r>
        <w:rPr>
          <w:rFonts w:ascii="Arial" w:hAnsi="Arial"/>
          <w:color w:val="404040"/>
          <w:sz w:val="21"/>
        </w:rPr>
        <w:t>CAP puso a la venta el 100% de las acciones de Tecnocap S.A., su filial de transmisión eléctrica en la Región de Atacama, contratando a Astris Finance como asesor para alinear su portafolio con su estrategia de largo plazo y concentrar recursos en sus negocios principales. Tecnocap opera 149 kilómetros de líneas y subestaciones en Paipote, Copiapó y Caldera, abastece a la mina Cerro Negro Norte y la planta desalinizadora de Aguas CAP, transmitió 256 GWh en 2025 y tiene contrato con CMP extendido hasta 2050. Entre los potenciales compradores figuran empresas de transmisión, fondos globales y el fondo chileno Toesca, en un mercado de M&amp;A activo donde BHP también estudia vender cerca de 1.000 km de líneas mineras valuados en torno a US$1.500 millones, y que en los últimos años registró operaciones como la de Colbún (US$1.295 millones, 2021) y Enel (US$1.345 millones, 2022).</w:t>
      </w:r>
    </w:p>
    <w:p>
      <w:pPr>
        <w:spacing w:before="0" w:after="80"/>
        <w:jc w:val="left"/>
      </w:pPr>
    </w:p>
    <w:p>
      <w:pPr>
        <w:pStyle w:val="Heading1"/>
        <w:shd w:val="clear" w:color="auto" w:fill="1F4E79"/>
        <w:spacing w:before="320" w:after="160"/>
        <w:ind w:left="227"/>
      </w:pPr>
      <w:r>
        <w:rPr>
          <w:rFonts w:ascii="Arial" w:hAnsi="Arial"/>
          <w:b/>
          <w:color w:val="FFFFFF"/>
          <w:sz w:val="26"/>
        </w:rPr>
        <w:t>ECONOMÍA</w:t>
      </w:r>
    </w:p>
    <w:p>
      <w:pPr>
        <w:pStyle w:val="Heading2"/>
        <w:spacing w:before="200" w:after="80"/>
      </w:pPr>
      <w:r>
        <w:rPr>
          <w:rFonts w:ascii="Arial" w:hAnsi="Arial"/>
          <w:b/>
          <w:color w:val="2E75B6"/>
          <w:sz w:val="22"/>
        </w:rPr>
        <w:t xml:space="preserve">1.  </w:t>
      </w:r>
      <w:r>
        <w:rPr>
          <w:rFonts w:ascii="Arial" w:hAnsi="Arial"/>
          <w:b/>
          <w:color w:val="1F4E79"/>
          <w:sz w:val="22"/>
        </w:rPr>
        <w:t>Empresas prevén que el año terminará con una inflación en 4% y acusan que el dólar vuelve a presionar los precios al alza</w:t>
      </w:r>
    </w:p>
    <w:p>
      <w:pPr>
        <w:spacing w:before="40" w:after="60"/>
        <w:ind w:left="283"/>
      </w:pPr>
      <w:r>
        <w:rPr>
          <w:rFonts w:ascii="Arial" w:hAnsi="Arial"/>
          <w:color w:val="404040"/>
          <w:sz w:val="21"/>
        </w:rPr>
        <w:t>La Encuesta de Determinantes y Expectativas de Precios del Banco Central para el trimestre mayo-julio muestra que las empresas mantienen su proyección de cierre de 2026 con una inflación de 4%, y esperan que se modere a 3,5% en 24 meses. El escenario general refleja una moderación en el alza de costos y precios de venta, junto a una reducción de volúmenes de venta y debilitamiento de márgenes, con la excepción del tipo de cambio, cuya presión sobre los precios aumentó nuevamente. También se redujo el porcentaje de empresas que espera subir precios en los próximos 12 meses, lo que sugiere una menor presión inflacionaria prospectiva en el margen.</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Operadores financieros prevén un alza del IPC en 0,3% en agosto y que la tasa de interés se mantendrá hasta finales de año</w:t>
      </w:r>
    </w:p>
    <w:p>
      <w:pPr>
        <w:spacing w:before="40" w:after="60"/>
        <w:ind w:left="283"/>
      </w:pPr>
      <w:r>
        <w:rPr>
          <w:rFonts w:ascii="Arial" w:hAnsi="Arial"/>
          <w:color w:val="404040"/>
          <w:sz w:val="21"/>
        </w:rPr>
        <w:t>La Encuesta de Operadores Financieros del Banco Central proyecta una variación del IPC de 0,3% en agosto y 0,6% en septiembre, con una inflación de 3,3% en un horizonte de 12 meses. El consenso de los encuestados es que la tasa de política monetaria se mantendrá en su nivel actual de 4,5% durante las próximas cuatro reuniones y a lo largo de los siguientes 24 meses, descartando movimientos en el corto plazo. Para el tipo de cambio, la expectativa es que el dólar se ubique en $935 en los próximos siete días y en $925 en los siguientes 28 días.</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Combate al “fraude social” y revisión de gastos permanentes: los otros ejes del primer Presupuesto de Kast</w:t>
      </w:r>
    </w:p>
    <w:p>
      <w:pPr>
        <w:spacing w:before="40" w:after="60"/>
        <w:ind w:left="283"/>
      </w:pPr>
      <w:r>
        <w:rPr>
          <w:rFonts w:ascii="Arial" w:hAnsi="Arial"/>
          <w:color w:val="404040"/>
          <w:sz w:val="21"/>
        </w:rPr>
        <w:t>Más allá del acotado aumento del gasto público de hasta 1% real en 2027, el erario que prepara el gobierno incluirá una serie de materias que prometen tomarse la discusión en el Congreso. Septiembre no solo es el mes de las Fiestas Patrias, sino que representa la recta final de la presentación de la ley de Presupuestos al Congreso. Y, en este caso, el erario 2027 será el primero elaborado por la administración de José Antonio Kast, con Jorge Quiroz al mando de Hacienda y José Pablo Gómez a cargo de la Dirección de Presupuestos (Dipres). Hasta el minuto, la preparación del proyecto ha estado marcada por la pública solicitud de recursos de algunos ministros, como los titulares de Vivienda, Iván Poduje, y de Salud, May Chomali, así como el anticipo de parte de Quiroz de que el gasto fiscal crecerá no más de 1% el próximo año. El Presupuesto para 2026 que legisló el Congreso considera un avance de 1,7%.</w:t>
      </w:r>
    </w:p>
    <w:p>
      <w:pPr>
        <w:pBdr>
          <w:bottom w:val="single" w:sz="4" w:space="1" w:color="BDD7EE"/>
        </w:pBdr>
        <w:spacing w:before="80" w:after="80"/>
      </w:pPr>
    </w:p>
    <w:p>
      <w:pPr>
        <w:pStyle w:val="Heading2"/>
        <w:spacing w:before="200" w:after="80"/>
      </w:pPr>
      <w:r>
        <w:rPr>
          <w:rFonts w:ascii="Arial" w:hAnsi="Arial"/>
          <w:b/>
          <w:color w:val="2E75B6"/>
          <w:sz w:val="22"/>
        </w:rPr>
        <w:t xml:space="preserve">4.  </w:t>
      </w:r>
      <w:r>
        <w:rPr>
          <w:rFonts w:ascii="Arial" w:hAnsi="Arial"/>
          <w:b/>
          <w:color w:val="1F4E79"/>
          <w:sz w:val="22"/>
        </w:rPr>
        <w:t>Vanesa Lanciotti, socia líder de Tax &amp; Legal de Deloitte y nuevo crédito fiscal para empresas tecnológicas: "Se está incentivando la exportación de estos servicios desde Chile"</w:t>
      </w:r>
    </w:p>
    <w:p>
      <w:pPr>
        <w:spacing w:before="40" w:after="60"/>
        <w:ind w:left="283"/>
      </w:pPr>
      <w:r>
        <w:rPr>
          <w:rFonts w:ascii="Arial" w:hAnsi="Arial"/>
          <w:color w:val="404040"/>
          <w:sz w:val="21"/>
        </w:rPr>
        <w:t>En el podcast La Ruta Tributaria del Diario Financiero, Vanesa Lanciotti, socia líder de Tax &amp; Legal de Deloitte, analiza los cambios tributarios para la industria tecnológica introducidos por la ley miscelánea, en particular el nuevo crédito fiscal creado para empresas del sector. La experta destaca que el diseño de la norma apunta a incentivar la exportación de servicios tecnológicos desde Chile, posicionando al país como plataforma para la prestación de estos servicios al exterior. El episodio aborda principalmente el enfoque exportador del crédito sin profundizar en montos o condiciones específicas del beneficio.</w:t>
      </w:r>
    </w:p>
    <w:p>
      <w:pPr>
        <w:pBdr>
          <w:bottom w:val="single" w:sz="4" w:space="1" w:color="BDD7EE"/>
        </w:pBdr>
        <w:spacing w:before="80" w:after="80"/>
      </w:pPr>
    </w:p>
    <w:p>
      <w:pPr>
        <w:pStyle w:val="Heading2"/>
        <w:spacing w:before="200" w:after="80"/>
      </w:pPr>
      <w:r>
        <w:rPr>
          <w:rFonts w:ascii="Arial" w:hAnsi="Arial"/>
          <w:b/>
          <w:color w:val="2E75B6"/>
          <w:sz w:val="22"/>
        </w:rPr>
        <w:t xml:space="preserve">5.  </w:t>
      </w:r>
      <w:r>
        <w:rPr>
          <w:rFonts w:ascii="Arial" w:hAnsi="Arial"/>
          <w:b/>
          <w:color w:val="1F4E79"/>
          <w:sz w:val="22"/>
        </w:rPr>
        <w:t>Sofofa respalda contrato por horas, pero pide ajustes para asegurar su aplicación</w:t>
      </w:r>
    </w:p>
    <w:p>
      <w:pPr>
        <w:spacing w:before="40" w:after="60"/>
        <w:ind w:left="283"/>
      </w:pPr>
      <w:r>
        <w:rPr>
          <w:rFonts w:ascii="Arial" w:hAnsi="Arial"/>
          <w:color w:val="404040"/>
          <w:sz w:val="21"/>
        </w:rPr>
        <w:t>La Sofofa respaldó ante la Comisión de Trabajo del Senado el proyecto de ley de contrato por horas, valorando que abre espacios de formalización laboral, incorpora flexibilidad con reglas de previsibilidad y distribuye el riesgo al garantizar el pago del 75% de las horas pactadas aunque no sean utilizadas por el empleador. Sin embargo, el gremio planteó siete ajustes clave: diferenciar las convocatorias ordinarias de las de contingencia, eliminar la obligación de consignar las condiciones del trabajador en el contrato, regular qué ocurre cuando una convocatoria ya aceptada se cancela, precisar el cálculo de horas extraordinarias y reemplazar la presunción de jornada completa ante incumplimientos menores por una consecuencia más acotada. Sofofa también pidió claridad sobre la naturaleza jurídica de la figura y solicitó que la historia de la ley explicite su aplicación general para evitar incertidumbre interpretativa.</w:t>
      </w:r>
    </w:p>
    <w:p>
      <w:pPr>
        <w:pBdr>
          <w:bottom w:val="single" w:sz="4" w:space="1" w:color="BDD7EE"/>
        </w:pBdr>
        <w:spacing w:before="80" w:after="80"/>
      </w:pPr>
    </w:p>
    <w:p>
      <w:pPr>
        <w:pStyle w:val="Heading2"/>
        <w:spacing w:before="200" w:after="80"/>
      </w:pPr>
      <w:r>
        <w:rPr>
          <w:rFonts w:ascii="Arial" w:hAnsi="Arial"/>
          <w:b/>
          <w:color w:val="2E75B6"/>
          <w:sz w:val="22"/>
        </w:rPr>
        <w:t xml:space="preserve">6.  </w:t>
      </w:r>
      <w:r>
        <w:rPr>
          <w:rFonts w:ascii="Arial" w:hAnsi="Arial"/>
          <w:b/>
          <w:color w:val="1F4E79"/>
          <w:sz w:val="22"/>
        </w:rPr>
        <w:t>Jara cuestiona al gobierno por retraso en reglamento que protege a recolectores de residuos y lleva el caso a Contraloría</w:t>
      </w:r>
    </w:p>
    <w:p>
      <w:pPr>
        <w:spacing w:before="40" w:after="60"/>
        <w:ind w:left="283"/>
      </w:pPr>
      <w:r>
        <w:rPr>
          <w:rFonts w:ascii="Arial" w:hAnsi="Arial"/>
          <w:color w:val="404040"/>
          <w:sz w:val="21"/>
        </w:rPr>
        <w:t>La Consultora Faro —encabezada por la exministra del Trabajo Jeannette Jara— y la federación Fenasinaj presentaron un recurso ante la Contraloría General de la República por el incumplimiento del plazo para dictar el reglamento de la ley que protege a más de 21 mil recolectores de residuos domiciliarios; el plazo venció el 30 de abril de 2026, cuatro meses después de la publicación de la norma. Sin el reglamento, no son técnicamente exigibles las condiciones de acceso a agua potable, servicios higiénicos, capacitaciones semestrales en seguridad, elementos de protección personal ni los protocolos de prevención de riesgos contemplados en la ley. El Ministerio del Trabajo informó que el reglamento ya fue elaborado y está siendo revisado por el Ministerio de Salud antes de ingresar a Contraloría.</w:t>
      </w:r>
    </w:p>
    <w:p>
      <w:pPr>
        <w:pBdr>
          <w:bottom w:val="single" w:sz="4" w:space="1" w:color="BDD7EE"/>
        </w:pBdr>
        <w:spacing w:before="80" w:after="80"/>
      </w:pPr>
    </w:p>
    <w:p>
      <w:pPr>
        <w:pStyle w:val="Heading2"/>
        <w:spacing w:before="200" w:after="80"/>
      </w:pPr>
      <w:r>
        <w:rPr>
          <w:rFonts w:ascii="Arial" w:hAnsi="Arial"/>
          <w:b/>
          <w:color w:val="2E75B6"/>
          <w:sz w:val="22"/>
        </w:rPr>
        <w:t xml:space="preserve">7.  </w:t>
      </w:r>
      <w:r>
        <w:rPr>
          <w:rFonts w:ascii="Arial" w:hAnsi="Arial"/>
          <w:b/>
          <w:color w:val="1F4E79"/>
          <w:sz w:val="22"/>
        </w:rPr>
        <w:t>DF Tax | La deuda tributaria con los importadores</w:t>
      </w:r>
    </w:p>
    <w:p>
      <w:pPr>
        <w:spacing w:before="40" w:after="60"/>
        <w:ind w:left="283"/>
      </w:pPr>
      <w:r>
        <w:rPr>
          <w:rFonts w:ascii="Arial" w:hAnsi="Arial"/>
          <w:color w:val="404040"/>
          <w:sz w:val="21"/>
        </w:rPr>
        <w:t>Claudio Bustos, socio de Bustos Tax &amp; Legal, argumenta que el sistema actual de IVA a la importación genera un costo financiero innecesario: las empresas deben desembolsar el impuesto al retirar mercancías de Aduanas —hasta $190 millones por cada $1.000 millones importados— para luego recuperarlo como crédito fiscal, inmovilizando capital de trabajo que podría destinarse a inversión o producción. Propone implementar un mecanismo de pago diferido (postponed accounting) similar al utilizado en otros países, que permita a contribuyentes con buen historial declarar el IVA de importación en su declaración periódica junto al crédito fiscal correspondiente, sin obligar a un desembolso previo. Señala que Chile cuenta con la infraestructura tecnológica en Aduanas y el SII para implementar estos controles, y que el impacto para el Fisco sería solo un cambio en el timing de los flujos, no una pérdida permanente de recaudación.</w:t>
      </w:r>
    </w:p>
    <w:p>
      <w:pPr>
        <w:pBdr>
          <w:bottom w:val="single" w:sz="4" w:space="1" w:color="BDD7EE"/>
        </w:pBdr>
        <w:spacing w:before="80" w:after="80"/>
      </w:pPr>
    </w:p>
    <w:p>
      <w:pPr>
        <w:pStyle w:val="Heading2"/>
        <w:spacing w:before="200" w:after="80"/>
      </w:pPr>
      <w:r>
        <w:rPr>
          <w:rFonts w:ascii="Arial" w:hAnsi="Arial"/>
          <w:b/>
          <w:color w:val="2E75B6"/>
          <w:sz w:val="22"/>
        </w:rPr>
        <w:t xml:space="preserve">8.  </w:t>
      </w:r>
      <w:r>
        <w:rPr>
          <w:rFonts w:ascii="Arial" w:hAnsi="Arial"/>
          <w:b/>
          <w:color w:val="1F4E79"/>
          <w:sz w:val="22"/>
        </w:rPr>
        <w:t>DF Tax | La fiscalización tributaria en un Estado de Derecho</w:t>
      </w:r>
    </w:p>
    <w:p>
      <w:pPr>
        <w:spacing w:before="40" w:after="60"/>
        <w:ind w:left="283"/>
      </w:pPr>
      <w:r>
        <w:rPr>
          <w:rFonts w:ascii="Arial" w:hAnsi="Arial"/>
          <w:color w:val="404040"/>
          <w:sz w:val="21"/>
        </w:rPr>
        <w:t>Diego Hormazábal, asociado de Carey, plantea que la fiscalización tributaria del SII debe enmarcarse en los principios del Estado de Derecho —buena fe, pertinencia y razonabilidad— y no solo en el cumplimiento formal de sus atribuciones legales. Cita una sentencia de la Corte Suprema (Rol N°19.289-2016) que obliga al SII a asegurar la pertinencia de sus requerimientos, cuestionando prácticas como solicitar antecedentes ajenos a la operación fiscalizada, exigir niveles de especificidad innecesarios o reprochar la ausencia de antecedentes no pedidos en instancias previas. Concluye que una fiscalización legitimada por estos principios no debilita la actividad empresarial sino que la fortalece, generando las confianzas y certezas jurídicas que también persigue la reforma tributaria en curso.</w:t>
      </w:r>
    </w:p>
    <w:p>
      <w:pPr>
        <w:spacing w:before="0" w:after="80"/>
        <w:jc w:val="left"/>
      </w:pPr>
    </w:p>
    <w:p>
      <w:pPr>
        <w:pStyle w:val="Heading1"/>
        <w:shd w:val="clear" w:color="auto" w:fill="1F4E79"/>
        <w:spacing w:before="320" w:after="160"/>
        <w:ind w:left="227"/>
      </w:pPr>
      <w:r>
        <w:rPr>
          <w:rFonts w:ascii="Arial" w:hAnsi="Arial"/>
          <w:b/>
          <w:color w:val="FFFFFF"/>
          <w:sz w:val="26"/>
        </w:rPr>
        <w:t>INTERNACIONAL</w:t>
      </w:r>
    </w:p>
    <w:p>
      <w:pPr>
        <w:pStyle w:val="Heading2"/>
        <w:spacing w:before="200" w:after="80"/>
      </w:pPr>
      <w:r>
        <w:rPr>
          <w:rFonts w:ascii="Arial" w:hAnsi="Arial"/>
          <w:b/>
          <w:color w:val="2E75B6"/>
          <w:sz w:val="22"/>
        </w:rPr>
        <w:t xml:space="preserve">1.  </w:t>
      </w:r>
      <w:r>
        <w:rPr>
          <w:rFonts w:ascii="Arial" w:hAnsi="Arial"/>
          <w:b/>
          <w:color w:val="1F4E79"/>
          <w:sz w:val="22"/>
        </w:rPr>
        <w:t>Nvidia comprará la plataforma de IA de código abierto Hugging Face por US$ 13 mil millones</w:t>
      </w:r>
    </w:p>
    <w:p>
      <w:pPr>
        <w:spacing w:before="40" w:after="60"/>
        <w:ind w:left="283"/>
      </w:pPr>
      <w:r>
        <w:rPr>
          <w:rFonts w:ascii="Arial" w:hAnsi="Arial"/>
          <w:color w:val="404040"/>
          <w:sz w:val="21"/>
        </w:rPr>
        <w:t>Nvidia acordó adquirir Hugging Face por US$13.000 millones en su mayor compra directa histórica —superando los US$6.900 millones pagados por Mellanox en 2020— con cierre esperado en 2027 sujeto a revisión regulatoria. Hugging Face, que el año pasado rechazó una inversión de Nvidia valorada en US$7.000 millones para preservar su independencia, alberga 3 millones de modelos de IA abiertos, 500 mil conjuntos de datos y es utilizada por más de 200 mil empresas. Nvidia se comprometió a mantener la plataforma abierta para todo el ecosistema, argumentando que los modelos de pesos abiertos permitirán escalar la IA a miles de millones de aplicaciones cotidianas, reduciendo a la vez la dependencia de grandes clientes como OpenAI y Anthropic. La operación también le entregará a Nvidia el control de uno de los principales canales de distribución de modelos de IA a nivel global.</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Xi Jinping asegura que China respaldará los esfuerzos destinados a “reconfigurar la arquitectura de seguridad" en Medio Oriente</w:t>
      </w:r>
    </w:p>
    <w:p>
      <w:pPr>
        <w:spacing w:before="40" w:after="60"/>
        <w:ind w:left="283"/>
      </w:pPr>
      <w:r>
        <w:rPr>
          <w:rFonts w:ascii="Arial" w:hAnsi="Arial"/>
          <w:color w:val="404040"/>
          <w:sz w:val="21"/>
        </w:rPr>
        <w:t>En el marco de la visita del mandatario chino a El Cairo, se acordó poner en marcha la tercera fase de la ampliación de la zona industrial China-Egipto en la Zona Económica del canal de Suez, además de lo cual se firmaron 20 documentos de cooperación bilateral. El presidente de China, Xi Jinping,llamó a los países de Medio Oriente que consideren construir un nuevo orden de seguridad libre de interferencias externas durante una visita a Egipto, endureciendo el lenguaje que había utilizado previamente el líder chino para respaldar un alejamiento de Estados Unidos. “Los pueblos de Medio Oriente deben ser dueños de sus propios asuntos”, dijo Xi durante una reunión conel presidente egipcio, Abdel Fattah El-Sisi, en El Cairo, según un comunicado oficial del Ministerio de Relaciones Exteriores de China.</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Brasil entra al último mes de campaña con Lula y Bolsonaro en estrecha disputa</w:t>
      </w:r>
    </w:p>
    <w:p>
      <w:pPr>
        <w:spacing w:before="40" w:after="60"/>
        <w:ind w:left="283"/>
      </w:pPr>
      <w:r>
        <w:rPr>
          <w:rFonts w:ascii="Arial" w:hAnsi="Arial"/>
          <w:color w:val="404040"/>
          <w:sz w:val="21"/>
        </w:rPr>
        <w:t>A menos de un mes de las elecciones presidenciales brasileñas del 4 de octubre, Lula da Silva mantiene una ventaja de 6 a 7 puntos sobre Flávio Bolsonaro en primera vuelta, pero los sondeos de Quaest y BTG/Nexus muestran una diferencia de apenas 1 a 2 puntos en el balotaje del 25 de octubre. Ambos candidatos buscan capturar el electorado de centro: Bolsonaro apunta a reducir su debilidad entre mujeres con una imagen más moderada, mientras Lula busca ganar terreno entre evangélicos y sectores de ingresos medios y altos. El resultado tendrá impacto regional decisivo, pues analistas coinciden en que una victoria de Bolsonaro consolidaría el giro derechista iniciado con las victorias de derecha en Chile, Perú y Colombia, mientras que un triunfo de Lula actuaría como contrapeso a esa tendencia.</w:t>
      </w:r>
    </w:p>
    <w:p>
      <w:pPr>
        <w:spacing w:before="0" w:after="80"/>
        <w:jc w:val="left"/>
      </w:pPr>
    </w:p>
    <w:p>
      <w:pPr>
        <w:pStyle w:val="Heading1"/>
        <w:shd w:val="clear" w:color="auto" w:fill="1F4E79"/>
        <w:spacing w:before="320" w:after="160"/>
        <w:ind w:left="227"/>
      </w:pPr>
      <w:r>
        <w:rPr>
          <w:rFonts w:ascii="Arial" w:hAnsi="Arial"/>
          <w:b/>
          <w:color w:val="FFFFFF"/>
          <w:sz w:val="26"/>
        </w:rPr>
        <w:t>INNOVACIÓN</w:t>
      </w:r>
    </w:p>
    <w:p>
      <w:pPr>
        <w:pStyle w:val="Heading2"/>
        <w:spacing w:before="200" w:after="80"/>
      </w:pPr>
      <w:r>
        <w:rPr>
          <w:rFonts w:ascii="Arial" w:hAnsi="Arial"/>
          <w:b/>
          <w:color w:val="2E75B6"/>
          <w:sz w:val="22"/>
        </w:rPr>
        <w:t xml:space="preserve">1.  </w:t>
      </w:r>
      <w:r>
        <w:rPr>
          <w:rFonts w:ascii="Arial" w:hAnsi="Arial"/>
          <w:b/>
          <w:color w:val="1F4E79"/>
          <w:sz w:val="22"/>
        </w:rPr>
        <w:t>Abogados plantean que Chile debe regular “con urgencia” el uso de obras protegidas para entrenar sistemas de IA</w:t>
      </w:r>
    </w:p>
    <w:p>
      <w:pPr>
        <w:spacing w:before="40" w:after="60"/>
        <w:ind w:left="283"/>
      </w:pPr>
      <w:r>
        <w:rPr>
          <w:rFonts w:ascii="Arial" w:hAnsi="Arial"/>
          <w:color w:val="404040"/>
          <w:sz w:val="21"/>
        </w:rPr>
        <w:t>Coinciden en que deben existir excepciones para usar contenidos sin autorización en el entrenamiento de la inteligencia artificial, pero sujetas a límites, fiscalización y, en ciertos casos, licencias. Maximiliano Santa Cruz, socio de Santa Cruz IP, y Antonia Nudman, asociada senior de az Tech. Desde la irrupción de la inteligencia artificial (IA) generativa en 2022, con el lanzamiento de ChatGPT, diversos autores, creadores de contenido y medios de comunicación han participado en demandas colectivas o criticado cómo las tecnológicas utilizan obras protegidas por derecho de autor -desde libros hasta el trabajo periodístico- para entrenar sus sistemas de IA, sin permiso ni compensación.</w:t>
      </w:r>
    </w:p>
    <w:p>
      <w:pPr>
        <w:spacing w:before="0" w:after="80"/>
        <w:jc w:val="left"/>
      </w:pPr>
    </w:p>
    <w:p>
      <w:pPr>
        <w:pStyle w:val="Heading1"/>
        <w:shd w:val="clear" w:color="auto" w:fill="1F4E79"/>
        <w:spacing w:before="320" w:after="160"/>
        <w:ind w:left="227"/>
      </w:pPr>
      <w:r>
        <w:rPr>
          <w:rFonts w:ascii="Arial" w:hAnsi="Arial"/>
          <w:b/>
          <w:color w:val="FFFFFF"/>
          <w:sz w:val="26"/>
        </w:rPr>
        <w:t>OPINIÓN</w:t>
      </w:r>
    </w:p>
    <w:p>
      <w:pPr>
        <w:pStyle w:val="Heading2"/>
        <w:spacing w:before="200" w:after="80"/>
      </w:pPr>
      <w:r>
        <w:rPr>
          <w:rFonts w:ascii="Arial" w:hAnsi="Arial"/>
          <w:b/>
          <w:color w:val="2E75B6"/>
          <w:sz w:val="22"/>
        </w:rPr>
        <w:t xml:space="preserve">1.  </w:t>
      </w:r>
      <w:r>
        <w:rPr>
          <w:rFonts w:ascii="Arial" w:hAnsi="Arial"/>
          <w:b/>
          <w:color w:val="1F4E79"/>
          <w:sz w:val="22"/>
        </w:rPr>
        <w:t>EL COSTO DIFERIDO DE UNA PROTECCIÓN POSTERGADA</w:t>
      </w:r>
    </w:p>
    <w:p>
      <w:pPr>
        <w:spacing w:before="40" w:after="60"/>
        <w:ind w:left="283"/>
      </w:pPr>
      <w:r>
        <w:rPr>
          <w:rFonts w:ascii="Arial" w:hAnsi="Arial"/>
          <w:color w:val="404040"/>
          <w:sz w:val="21"/>
        </w:rPr>
        <w:t>El artículo critica la decisión del gobierno de posponer un año la entrada en vigor de la Ley de Protección de Datos Personales (N°21.719), señalando que aunque responde al problema real de la falta de Consejo Directivo para la agencia regulatoria tras el rechazo senatorial de la terna inicial, el costo es significativo: Chile seguirá siendo un país «no adecuado» según los estándares del RGPD europeo, lo que deteriora su competitividad como hub tecnológico y destino de datos. Durante un año adicional regirá la obsoleta Ley N°19.628 de 1999, perjudicando a las empresas que ya invirtieron en cumplimiento de la nueva normativa y dejando a la ciudadanía desprotegida frente a filtraciones de datos sensibles. El proyecto que posterga la ley también amplía de tres a cinco el número de consejeros y restablece la dedicación exclusiva, apostando a que los nuevos acuerdos políticos prioricen la capacidad técnica sobre las lealtades partidarias.</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Modernizar sin olvidar a quienes siguen esperando transparencia</w:t>
      </w:r>
    </w:p>
    <w:p>
      <w:pPr>
        <w:spacing w:before="40" w:after="60"/>
        <w:ind w:left="283"/>
      </w:pPr>
      <w:r>
        <w:rPr>
          <w:rFonts w:ascii="Arial" w:hAnsi="Arial"/>
          <w:color w:val="404040"/>
          <w:sz w:val="21"/>
        </w:rPr>
        <w:t>Un grupo de 55 aportantes de la administradora Sartor —actualmente en proceso de liquidación— dirige una carta al Diario Financiero para cuestionar que la CMF avance en propuestas de modernización del mercado financiero mientras ellos llevan casi dos años sin acceder a sus ahorros, producto de lo que califican como negligencia fiscalizadora del organismo. Las valorizaciones de los activos de Sartor, encargadas a PwC y Deloitte y pagadas con los fondos de los propios aportantes, no les han sido entregadas, y un amparo presentado ante el Consejo para la Transparencia fue rechazado porque la CMF declaró no contar con la información que ella misma ordenó generar a través del liquidador. Los aportantes exigen que la CMF demuestre su compromiso con la transparencia entregando de inmediato esas valorizaciones, antes de presentarse como impulsora de reformas para proteger a los inversionistas.</w:t>
      </w:r>
    </w:p>
    <w:p>
      <w:pPr>
        <w:spacing w:before="0" w:after="80"/>
        <w:jc w:val="left"/>
      </w:pPr>
    </w:p>
    <w:sectPr w:rsidR="00FC693F" w:rsidRPr="0006063C" w:rsidSect="00034616">
      <w:headerReference w:type="default" r:id="rId9"/>
      <w:footerReference w:type="default" r:id="rId10"/>
      <w:pgSz w:w="12240" w:h="15840"/>
      <w:pgMar w:top="1247"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999999"/>
        <w:sz w:val="18"/>
      </w:rPr>
      <w:t xml:space="preserve">Página </w:t>
      <w:fldChar w:fldCharType="begin"/>
    </w:r>
    <w:r>
      <w:instrText>PAGE</w:instrText>
    </w:r>
    <w:r>
      <w:fldChar w:fldCharType="end"/>
    </w:r>
    <w:r>
      <w:rPr>
        <w:rFonts w:ascii="Arial" w:hAnsi="Arial"/>
        <w:color w:val="999999"/>
        <w:sz w:val="18"/>
      </w:rPr>
      <w:t xml:space="preserve"> de </w:t>
      <w:fldChar w:fldCharType="begin"/>
    </w:r>
    <w:r>
      <w:instrText>NUMPAGES</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b/>
        <w:color w:val="1F4E79"/>
        <w:sz w:val="18"/>
      </w:rPr>
      <w:t>Resumen Diario Financiero  ·  3 de septiembre de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