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20 De Julio De 2026</w:t>
      </w:r>
    </w:p>
    <w:p>
      <w:pPr>
        <w:jc w:val="center"/>
      </w:pPr>
      <w:r>
        <w:rPr>
          <w:rFonts w:ascii="Arial" w:hAnsi="Arial"/>
          <w:color w:val="999999"/>
          <w:sz w:val="20"/>
        </w:rPr>
        <w:t>6 secciones  ·  29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Wall Street abre al alza tras anuncio de recepción de propuesta de mediación por parte de Irán, pero el IPSA pierde terreno</w:t>
      </w:r>
    </w:p>
    <w:p>
      <w:pPr>
        <w:spacing w:before="40" w:after="60"/>
        <w:ind w:left="283"/>
      </w:pPr>
      <w:r>
        <w:rPr>
          <w:rFonts w:ascii="Arial" w:hAnsi="Arial"/>
          <w:color w:val="404040"/>
          <w:sz w:val="21"/>
        </w:rPr>
        <w:t>En Chile, el IPSA caía en sus primeras operaciones arrastrado por SQM, Latam y Banco Santander. Wall Street se sacudía el sentimiento negativo de los inversionistas y abrió al alza este lunes, en medio de un repunte de las tecnológicas -específcamente los fabricantes de chips para inteligencia artificial- y de la mano de una caída del petróleo por señales de relajación de las tensiones en Medio Oriente, que presionaba a la baja al petróleo. Al comienzo de las operaciones, los principales índices de la Bolsa de Nueva York operaban en números azules. En la plaza estadounidense, el Nasdaq saltaba 1,14%, el S&amp;P 500 subía 0,73% y el Dow Jones avanzaba 0,22%. Micron, Astera Labs, Teradyne y AMD, todos fabricantes de chips utilizados para la inteligencia artificial, crecían más de un 5% en la apertura.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a la baja por recuperación del cobre pero con inversionistas atentos a Medio Oriente</w:t>
      </w:r>
    </w:p>
    <w:p>
      <w:pPr>
        <w:spacing w:before="40" w:after="60"/>
        <w:ind w:left="283"/>
      </w:pPr>
      <w:r>
        <w:rPr>
          <w:rFonts w:ascii="Arial" w:hAnsi="Arial"/>
          <w:color w:val="404040"/>
          <w:sz w:val="21"/>
        </w:rPr>
        <w:t>El dollar index subía 0,1%, mientras que el futuro referencial del cobre Comex avanzaba 0,8%, a US$ 6,31 por libra. El dólar abrió el lunes a la baja tras los máximos del año que marcó el viernes, favorecido por un repunte en el precio del cobreimpulsado por la reducción de las existencias y los riesgos de suministro, aunque la incertidumbre sobre las perspectivas de la demanda limitaba las subidas e inversionistas cautelosos seguían atentos a las señales sobre la dirección del conflicto entre Estados Unidos e Irán. En los primeros negocios,el dólar cotizaba a $ 934,38, con una caída de $ 3,94desde el cierre del viernes, según las cotizaciones de Bloomberg.El dollar index subía 0,1%, mientras que el futuro referencial del cobre Comex avanzaba 0,8%, a US$ 6,31 por libra.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Priscila Robledo, economista jefa de Fintual: “Nadie puede descartar varias subidas de tasas de la Fed”</w:t>
      </w:r>
    </w:p>
    <w:p>
      <w:pPr>
        <w:spacing w:before="40" w:after="60"/>
        <w:ind w:left="283"/>
      </w:pPr>
      <w:r>
        <w:rPr>
          <w:rFonts w:ascii="Arial" w:hAnsi="Arial"/>
          <w:color w:val="404040"/>
          <w:sz w:val="21"/>
        </w:rPr>
        <w:t>La economista anticipó una Reserva Federal con menos guía prospectiva, tasas largas más volátiles y mayores primas por riesgo. Desde Nueva York, Estados Unidos, la economista jefa de Fintual, Priscila Robledo, señaló a DF que el actual escenario ha sido uno de los más difíciles de analizar en sus 10 años de proyecciones: una Reserva Federal (Fed) que podría volver a subir tasas y “dar menos guía”, una economía que crece  impulsada por la inteligencia artificial (IA) y un segundo semestre cargado de riesgos por la situación en Medio Oriente. -¿Cómo recibió el mercado el IPC de junio de Estados Unidos?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Singular y BTG elevan competencia con nuevos ETF temáticos en Asia</w:t>
      </w:r>
    </w:p>
    <w:p>
      <w:pPr>
        <w:spacing w:before="40" w:after="60"/>
        <w:ind w:left="283"/>
      </w:pPr>
      <w:r>
        <w:rPr>
          <w:rFonts w:ascii="Arial" w:hAnsi="Arial"/>
          <w:color w:val="404040"/>
          <w:sz w:val="21"/>
        </w:rPr>
        <w:t>Con estrategias distintas, buscan capturar el auge de la IA. Los principales actores del mercado chileno de los fondos cotizados en bolsa (ETF, en inglés) profundizan la competencia. Durante lo que va de julio, tanto el pionero de la categoría en Chile, Singular, como el nuevo pero activo participante, BTG pactual, inscribieron en la Comisión para el Mercado Financiero (CMF) un total de seis nuevos ETF.</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Exsubsecretario de Previsión Social Pedro Pizarro asumiría presidencia del Consejo Consultivo Previsional</w:t>
      </w:r>
    </w:p>
    <w:p>
      <w:pPr>
        <w:spacing w:before="40" w:after="60"/>
        <w:ind w:left="283"/>
      </w:pPr>
      <w:r>
        <w:rPr>
          <w:rFonts w:ascii="Arial" w:hAnsi="Arial"/>
          <w:color w:val="404040"/>
          <w:sz w:val="21"/>
        </w:rPr>
        <w:t>El abogado y actual vicepresidente del Instituto Libertad reemplazaría al economista Guillermo Larraín en el cargo. El exsubsecretario de Previsión Social, Pedro Pizarro. Cambios en uno de los organismo clave para la tramitación de leyes que modifiquen el sistema de pensiones solidarias y de la Pensión Garantizada Universal (PGU).</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Pese al sistema frontal, este lunes se dio inicia a la temporada invernal en el Valle Las Trancas, Termas de Chillán y Nevados de Chillán, en la Región de Ñuble</w:t>
      </w:r>
    </w:p>
    <w:p>
      <w:pPr>
        <w:spacing w:before="40" w:after="60"/>
        <w:ind w:left="283"/>
      </w:pPr>
      <w:r>
        <w:rPr>
          <w:rFonts w:ascii="Arial" w:hAnsi="Arial"/>
          <w:color w:val="404040"/>
          <w:sz w:val="21"/>
        </w:rPr>
        <w:t>En las últimas horas, el MOP ha desplegado operativos de despeje de la ruta hacia los centros turísticos para garantizar el desplazamiento de los visitantes. Las intensas precipitaciones acumularon 70 centímetros de nieve. La Región de Ñuble dioinicio a su temporada de nieve en Valle Las Trancas, Termas de Chillán y Nevados de Chillán,uno de los complejos de montaña más integrales de Sudamérica. La apuesta para este 2026 no sólo apunta a los aficionados del esquí y elsnowboard, sino a ladiversificación las experiencias, combinando hotelería, gastronomíagourmet, parques de aventura y sus reconocidas aguas termales de origen volcánico. DesdeNevados de Chillán,explicaron que el enfoque delresortpara este año está diseñado paraatraer al segmento de no esquiadoresmediante servicios de bienestar y tratamientos despaen las instalaciones de Hotel Nevados y Alto Nevados. Elgerente generaldel recinto hotelero, Manuel Dinamarca,comentó que “nuestra propuesta 2026 busca que el visitante viva la montaña de múltiples formas. Quienes no esquían tienen a su disposición las aguas termales más famosas de la región y un entorno natural único para el descanso".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motor inmobiliario de Santiago se traslada a las comunas periféricas, según consultora</w:t>
      </w:r>
    </w:p>
    <w:p>
      <w:pPr>
        <w:spacing w:before="40" w:after="60"/>
        <w:ind w:left="283"/>
      </w:pPr>
      <w:r>
        <w:rPr>
          <w:rFonts w:ascii="Arial" w:hAnsi="Arial"/>
          <w:color w:val="404040"/>
          <w:sz w:val="21"/>
        </w:rPr>
        <w:t>Las ventas de viviendas en la capital cerraron el segundo trimestre de 2026 con 4.863 unidades comercializadas, un alza de 1,7% respecto del período enero-marzo, según Tinsa by Accumin. La Florida registró el mejor desempeño. Con un total de 4.863 viviendas comercializadas, el mercado inmobiliario de la Región Metropolitana cerró el segundo trimestre de 2026 con un incremento de 1,7% respecto al primer cuarto del año, según datos de la consultora Tinsa by Accumin, que revelóun cambio de dinamismo en la capital: la demanda se desplazó con fuerza hacia las comunas periféricas,consolidando a La Florida como la zona con el mejor desempeño en ventas del periodo. Aunque el cierre del segundo trimestre del presente año se ubicó 4,5% por debajo de igual período de 2025,el informe confirmó que el segmento de departamentos continúa siendo el principal motor de la “reactivación del sector”, como lo definió la consultora.Estos concentraron el 85% de las transacciones del trimestre -4.146 unidades- con un crecimiento de 4,4% frente al período anterior.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Grupo Valdivieso se rearma para sus 150 años: se define como empresa de “consumo masivo” y va por nuevos mercados</w:t>
      </w:r>
    </w:p>
    <w:p>
      <w:pPr>
        <w:spacing w:before="40" w:after="60"/>
        <w:ind w:left="283"/>
      </w:pPr>
      <w:r>
        <w:rPr>
          <w:rFonts w:ascii="Arial" w:hAnsi="Arial"/>
          <w:color w:val="404040"/>
          <w:sz w:val="21"/>
        </w:rPr>
        <w:t>La firma se reestructuró, redujo un 30% la dotación y lleva tres años creciendo. Este año realizará 12 lanzamientos y modernizará el portafolio: desde latas de cócteles hasta licor de pistacho. Con una trayectoria marcada por 20 años en CMPC,Patricio Arenas asumió la gerencia general del Grupo Valdivieso a mediados de 2023. Ese año, las exportaciones de vino tranquilo -esto es, sin burbujas- cayeron un 20% en Chile. Y si bien sintieron el golpe, el ejecutivo señala que “lo que en algunos casos puede ser considerado una debilidad, estar mucho más concentrados en el mercado doméstico, ese año se convirtió en una fortaleza”.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"Un negocio judicial": Accionistas de inmobiliaria de Villa Panamericana en Cerrillos rechazan demanda y apuntan a afán de lucro de firma extranjera</w:t>
      </w:r>
    </w:p>
    <w:p>
      <w:pPr>
        <w:spacing w:before="40" w:after="60"/>
        <w:ind w:left="283"/>
      </w:pPr>
      <w:r>
        <w:rPr>
          <w:rFonts w:ascii="Arial" w:hAnsi="Arial"/>
          <w:color w:val="404040"/>
          <w:sz w:val="21"/>
        </w:rPr>
        <w:t>Acusan que los reclamantes comparecen como un vehículo para que el fondo de inversión Loopa Finance organice, promueva y financie una pretensión indemnizatoria por unos US$ 18 millones. En enero de este año, alrededor de 300 vecinos de la Villa Panamericana en Cerrillos demandaron a la inmobiliaria, constructora y financistas de la obra, acusando graves daños en sus departamentos. Ahora, fue el turno de los acusados, entre ellos, los accionistas, que pidieron rechazar la acción judicial y apuntaron a una firma extranjera, la que, según sostienen, “solo le interesa (…) hacer un negocio judicial”. La villa es un conjunto habitacional que primero recibió a los deportistas de los Juegos Panamericanos Santiago 2023 y luego quedó como residencia para cientos de familias.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Gobierno inicia estudio que definirá una tercera pista y nuevos terminales en Aeropuerto de Santiago</w:t>
      </w:r>
    </w:p>
    <w:p>
      <w:pPr>
        <w:spacing w:before="40" w:after="60"/>
        <w:ind w:left="283"/>
      </w:pPr>
      <w:r>
        <w:rPr>
          <w:rFonts w:ascii="Arial" w:hAnsi="Arial"/>
          <w:color w:val="404040"/>
          <w:sz w:val="21"/>
        </w:rPr>
        <w:t>La Dirección de Aeropuertos del MOP abrió el proceso para seleccionar a las consultoras que diseñarán la expansión del principal terminal aéreo del país de cara a la tercera concesión, prevista para 2038. El estudio determinará las inversiones necesarias hasta 2058. El gobierno comenzó a delinear lapróxima gran transformación del Aeropuerto Arturo Merino Benítez (AMB). Luego de que en marzo quedara desierta la licitación para desarrollar el diseño de su ampliación, la Dirección de Aeropuertos del Ministerio de Obras Públicas (MOP) puso en marcha un Registro Especial de Consultores, que permitirá convocar a empresas nacionales e internacionales paraelaborar el anteproyecto referencial que servirá de base para la tercera concesión del terminal, cuyo inicio está previsto para 2038.</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Expropiación por Camino de la Fruta empuja un proyecto para modernizar viña del Grupo Yarur</w:t>
      </w:r>
    </w:p>
    <w:p>
      <w:pPr>
        <w:spacing w:before="40" w:after="60"/>
        <w:ind w:left="283"/>
      </w:pPr>
      <w:r>
        <w:rPr>
          <w:rFonts w:ascii="Arial" w:hAnsi="Arial"/>
          <w:color w:val="404040"/>
          <w:sz w:val="21"/>
        </w:rPr>
        <w:t>Morandé hará modificaciones en sus accesos, pero además evalúa otras inversiones, como un sistema para reutilizar el agua tratada para riego. Viña Morandé, ligada al Grupo Yarur, ingresó al Servicio de Evaluación Ambiental (SEA) un proyecto por US$ 2 millones para modificar parte de las instalaciones de su planta de Pelequén, en la Región de O’Higgins, con el objetivo de adecuar su operación alas expropiaciones derivadas de la futura concesión Ruta 66 Camino de la Frutay, al mismo tiempo, incorporar mejoras en el tratamiento de aguas industriales. Según dijo la empresa en su declaración de impacto ambiental, las obras responden, en parte, a la pérdida de terrenos por el proyecto vial del MOP, que obliga areubicar el acceso principal a la planta y la actual sala de ventas, además de ejecutar ajustes en el diseño de las instalaciones.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Dueña de Sal Lobos alista ajustes en Puerto Patillos para recibir naves del doble de capacidad</w:t>
      </w:r>
    </w:p>
    <w:p>
      <w:pPr>
        <w:spacing w:before="40" w:after="60"/>
        <w:ind w:left="283"/>
      </w:pPr>
      <w:r>
        <w:rPr>
          <w:rFonts w:ascii="Arial" w:hAnsi="Arial"/>
          <w:color w:val="404040"/>
          <w:sz w:val="21"/>
        </w:rPr>
        <w:t>Sociedad Punta de Lobos (SPL) -la histórica salinera fundada en 1905 y controlada desde 2020 por el fondo estadounidense Stone Canyon Industries- ingresó al Servicio de Evaluación Ambiental (SEA) una consulta de pertinencia para adecuar el Terminal Marítimo 2 de Puerto Patillos, en la comuna de Iquique, y así recibir naves Capesize de hasta 208.000 toneladas de peso muerto, más del doble de las 100.000 toneladas hoy autorizadas. La iniciativa, que considera una inversión de US$ 3 millones, apunta a buques de 292 metros de eslora y 18,25 metros de calado, frente a los 260 metros y 14,8 metros de las mayores naves que actualmente pueden operar en el terminal, desde donde la compañía embarca la sal que extrae del Salar Grande de Tarapacá.Según el documento, presentado el 13 de julio, los estudios técnicos concluyeron que no se requieren modificaciones a la infraestructura terrestre ni marítima de embarque, sino solo ajustes al sistema de boyas y amarres: reforzar y reubicar tres de las seis boyas existentes, rotar la orientación de la amarra e instalar una boya pilar con luz destellante para señalizar. La firma precisó que los cambios no alteran la capacidad de transferencia de sal del complejo portuario y que el Terminal 2 seguirá operando en forma simultánea e independiente al Terminal 1, adecuándose “a las cambiantes necesidades del transporte marítimo” y a la infraestructura de los puertos de destino de sus clientes.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Airbus prevé que América Latina duplique su tráfico aéreo en los próximos 20 años</w:t>
      </w:r>
    </w:p>
    <w:p>
      <w:pPr>
        <w:spacing w:before="40" w:after="60"/>
        <w:ind w:left="283"/>
      </w:pPr>
      <w:r>
        <w:rPr>
          <w:rFonts w:ascii="Arial" w:hAnsi="Arial"/>
          <w:color w:val="404040"/>
          <w:sz w:val="21"/>
        </w:rPr>
        <w:t>Airbus proyecta que América Latina duplique su tráfico aéreo durante los próximos 20 años para así responder a las necesidades de conectividad y desarrollo turístico de los distintos países de la región. Así lo señaló Arturo Barreira, presidente de Airbus para América Latina y el Caribe, quien explicó a DF SUD que actualmente la región registra un promedio cercano a 0,5 vuelos por habitante, aunque países como Chile ya superan un vuelo por persona. “Nosotros estamos convencidos de que tenemos un potencial muy importante en la región”, sostuvo. Brasil y México son los mercados más grandes de América Latina, debido al tamaño de sus poblaciones y territorios, además del volumen de tráfico de pasajeros que concentran. Respecto de los desafíos para la industria, el ejecutivo mencionó la volatilidad del precio del petróleo y el impacto que un mayor costo del combustible tiene sobre las aerolíneas. Pese a ello, afirmó que existe una demanda importante y que el mercado mantiene una tendencia de crecimiento. Como muestra de ello, indicó que durante los primeros cinco meses del año Airbus vendió más de 800 aviones en el mundo.</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A cinco años de su debut, Under Pizza tiene hambre: proyecta completar 50 locales y crecer 30% en facturación</w:t>
      </w:r>
    </w:p>
    <w:p>
      <w:pPr>
        <w:spacing w:before="40" w:after="60"/>
        <w:ind w:left="283"/>
      </w:pPr>
      <w:r>
        <w:rPr>
          <w:rFonts w:ascii="Arial" w:hAnsi="Arial"/>
          <w:color w:val="404040"/>
          <w:sz w:val="21"/>
        </w:rPr>
        <w:t>Victoria Foods, también dueño de Melt Pizzas, superó los US$ 100 millones en facuración durante 2025, consolidando una participación del 25%. Este 2026 es un año especial para la marca chilena de pizzas estilo americano Under Pizza. ¿El motivo? La cadena fundada por el grupo gastronómico chileno Victoria Foods -que además es dueño de la marca Melt desde 2018-, celebra sucumpleaños número cinco desde su primera apertura y lanzamiento en Chile. La propuesta, explicó Cristóbal Barros, gerente general del grupo, se lanzó en 2021 para ser unamarca especialmente competitiva en el segmentovalue-de precios bajos- en el mercado de comida rápida en Chile. La misión, en dicho entonces, era clara: “Convertirse en la pizza más rica y conveniente del país”.</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Con aromas árabes marcando la pauta y ventas de US$ 25 millones en 2025: Silk Perfumes da su primer salto a espacios en retail</w:t>
      </w:r>
    </w:p>
    <w:p>
      <w:pPr>
        <w:spacing w:before="40" w:after="60"/>
        <w:ind w:left="283"/>
      </w:pPr>
      <w:r>
        <w:rPr>
          <w:rFonts w:ascii="Arial" w:hAnsi="Arial"/>
          <w:color w:val="404040"/>
          <w:sz w:val="21"/>
        </w:rPr>
        <w:t>Con ventas superiores a los US $ 25 millones cerró su año 2025 la importadora de fragancias chilena Silk Perfumes. Fundada en 2006, la firma hoy está al mando y es propiedad del indio Kamal Mirani, quien trabaja con diferentes marcas de distribuidores de perfumes en Chile y el extranjero, principalmente de Estados Unidos y Dubái. Actualmente, su operación se sostiene en 26 puntos de venta en la Región Metropolitana (RM), que mezcla 22 máquinas de autoservicio (tipo vending machine) más cuatro tiendas físicas.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Proyecto de reactivación: oposición presentará mañana tres requerimientos al Tribunal Constitucional para impugnar normas de invariabilidad y RCA</w:t>
      </w:r>
    </w:p>
    <w:p>
      <w:pPr>
        <w:spacing w:before="40" w:after="60"/>
        <w:ind w:left="283"/>
      </w:pPr>
      <w:r>
        <w:rPr>
          <w:rFonts w:ascii="Arial" w:hAnsi="Arial"/>
          <w:color w:val="404040"/>
          <w:sz w:val="21"/>
        </w:rPr>
        <w:t>Grupo de abogados lo integran entre otros, Jaime Gajardo, Jorge Correa Sutil; y Tomás Jordán.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¿Sala cuna igual para todos? estudio advierte que el proyecto tendrá impactos desiguales por región y que el copago limitaría sus efectos</w:t>
      </w:r>
    </w:p>
    <w:p>
      <w:pPr>
        <w:spacing w:before="40" w:after="60"/>
        <w:ind w:left="283"/>
      </w:pPr>
      <w:r>
        <w:rPr>
          <w:rFonts w:ascii="Arial" w:hAnsi="Arial"/>
          <w:color w:val="404040"/>
          <w:sz w:val="21"/>
        </w:rPr>
        <w:t>Así lo expone un análisis del Observatorio Territorial de la UAI, el cual reitera que es crucial observar el impacto local que tendría una política pública de este tipo. Con la discusión del proyecto de Sala Cuna Universal ya encaminada en la comisión de Hacienda del Senado, el foco comienza a desplazarse desde el diseño legal hacia sus efectos concretos. De hecho, un análisis del Observatorio Territorial de la Universidad Adolfo Ibáñez (UAI) advirtió que la reforma no tendría un impacto homogéneo en el país.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emergencia laboral ensombrece el panorama: en el mundo de los negocios y ciudadanía se anticipa un deterioro del empleo</w:t>
      </w:r>
    </w:p>
    <w:p>
      <w:pPr>
        <w:spacing w:before="40" w:after="60"/>
        <w:ind w:left="283"/>
      </w:pPr>
      <w:r>
        <w:rPr>
          <w:rFonts w:ascii="Arial" w:hAnsi="Arial"/>
          <w:color w:val="404040"/>
          <w:sz w:val="21"/>
        </w:rPr>
        <w:t>Reporte de Deloitte-Cadem mostró la importancia que se le da entre los ejecutivos a avanzar en contratos por hora y la sala cuna universal. La situación del empleo en el país sigue consolidándose entre las preocupaciones que priman al interior de las empresas y entre la opinión pública. El Índice de Riesgos de Chile de junio, que elaboran Deloitte-Cadem, ratificó no sólo que más del 90% la califica como “mala y muy mala” en estos momentos, sino que porcentajes muy altos -67% y 64%, respectivamente- sugieren un escenario que creen “empeorará” de aquí a seis meses. Un deterioro que contrasta con las expectativas sobre la marcha de la economía en general del país. La medición, realizada en alianza con MBA UC y Diario Financiero, mostró que un 68% del Panel de Negocios considera que el escenario mejorará de aquí al cierre de año, pero este nivel se reduce a 40% para efectos de la ciudadanía.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SII trabaja con el sector privado en transparentar proceso para valorizar grandes operaciones económicas</w:t>
      </w:r>
    </w:p>
    <w:p>
      <w:pPr>
        <w:spacing w:before="40" w:after="60"/>
        <w:ind w:left="283"/>
      </w:pPr>
      <w:r>
        <w:rPr>
          <w:rFonts w:ascii="Arial" w:hAnsi="Arial"/>
          <w:color w:val="404040"/>
          <w:sz w:val="21"/>
        </w:rPr>
        <w:t>El organismo convocó a una mesa para abrir el mecanismo que emplea para tasar reorganizaciones, precios de transferencia u operaciones entre empresas y personas relacionadas. Las autoridades del SII, lideradas por Jorge Trujillo, han sido parte del diálogo. Es común que cuando empresas y personas realizan grandes operaciones económicas y de negocios deban informarlas al Servicio de Impuestos Internos (SII). La razón es que dichas transacciones pueden tener importantes efectos y derivar en el pago de sumas de impuestos vía reorganizaciones, precios de transferencia, y herencias y donaciones, por citar solo algunas. Por lo mismo, el organismo tiene una potestad de valorizar dichas operaciones, lo que en ocasiones puede generar tensión con los contribuyentes al discrepar de sus propias tasaciones.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“Las personas son más felices cuando están planificando el viaje”: la defensa de la CEO de Expedia frente al avance de la IA</w:t>
      </w:r>
    </w:p>
    <w:p>
      <w:pPr>
        <w:spacing w:before="40" w:after="60"/>
        <w:ind w:left="283"/>
      </w:pPr>
      <w:r>
        <w:rPr>
          <w:rFonts w:ascii="Arial" w:hAnsi="Arial"/>
          <w:color w:val="404040"/>
          <w:sz w:val="21"/>
        </w:rPr>
        <w:t>Ariane Gorin enfrenta la competencia de startups tecnológicas mientras reposiciona a la segunda mayor empresa de reservas de viajes del mundo. Los inversionistas, empleados, hoteles y aerolíneas se han vuelto cada vez más insistentes en sus conversaciones con la CEO deExpedia, Ariane Gorin.Todos quieren hablar sobre inteligencia artificial (IA). En su informe anual de febrero, Expedia mencionó por primera vez los avances de la IA generativa y el auge de los agentes autónomos de IA capaces de ejecutar acciones, como reservar vacaciones, como un riesgo para su negocio.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Tras tocar los US$ 90, el petróleo modera su avance tras señal de Irán de que mantendría el diálogo con EEUU</w:t>
      </w:r>
    </w:p>
    <w:p>
      <w:pPr>
        <w:spacing w:before="40" w:after="60"/>
        <w:ind w:left="283"/>
      </w:pPr>
      <w:r>
        <w:rPr>
          <w:rFonts w:ascii="Arial" w:hAnsi="Arial"/>
          <w:color w:val="404040"/>
          <w:sz w:val="21"/>
        </w:rPr>
        <w:t>De todos modos, los precios del crudo han registrado un aumento de cerca del 20% en julio, encaminándose hacia su mayor subida mensual desde marzo. En EEUU la gasolina superó nuevamente los US$ 4 el galón. Una estatua que simboliza la mano del difunto líder supremo de Irán, el ayatolá Ali Jamenei, en la plaza Enghelab de Teherán. (Foto: Reuters) El precio del petróleo superó al inicio de la jornada de este lunes los US$ 90 por primera vez en más de un mes, debido a que la escalada de ataques entre Estados Unidos e Irán sacudió los mercados energéticos mundiales.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Ganancias de Ryanair caen 34% por el impacto de la guerra en Medio Oriente en las tarifas y el combustible</w:t>
      </w:r>
    </w:p>
    <w:p>
      <w:pPr>
        <w:spacing w:before="40" w:after="60"/>
        <w:ind w:left="283"/>
      </w:pPr>
      <w:r>
        <w:rPr>
          <w:rFonts w:ascii="Arial" w:hAnsi="Arial"/>
          <w:color w:val="404040"/>
          <w:sz w:val="21"/>
        </w:rPr>
        <w:t>La aerolínea low cost europea declinó entregar una proyección para el año fiscal y advierte que depende “en gran medida” de las reservas de última hora. Lasganancias de Ryanair cayeron más de un tercioluego de quela guerra en Medio Oriente afectara la confianza de los consumidores, obligando a la aerolínea a mantenertarifas más bajas, mientras el fuerte aumento en los precios del combustible para aviones elevó sus costos. Lautilidad después de impuestosde la compañía durante los tres meses hasta junio alcanzó538 millones de euros, unabaja de 34%frente al mismo período del año pasado ypor debajo de las expectativas de los analistas, que estimaban 579 millones de euros.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Andy Burnham se convierte en el séptimo primer ministro del Reino Unido en la última década</w:t>
      </w:r>
    </w:p>
    <w:p>
      <w:pPr>
        <w:spacing w:before="40" w:after="60"/>
        <w:ind w:left="283"/>
      </w:pPr>
      <w:r>
        <w:rPr>
          <w:rFonts w:ascii="Arial" w:hAnsi="Arial"/>
          <w:color w:val="404040"/>
          <w:sz w:val="21"/>
        </w:rPr>
        <w:t>El exalcalde del Gran Manchester, que ya se reunió con el Rey Carlos, definirá este lunes a su gabinete y se comprometió con un paquete de medidas para atender el alza en el costo de la vida además del desarrollo de un plan a 10 años para el país. Andy Burnham se ha convertido en el séptimo primer ministro británico en la última décadatras reunirse con el rey Carlos en el Palacio de Buckingham. Burnham, exalcande del Gran Manchster,pronunciará próximamente su discurso inaugural como primer ministro frente a Downing Street.</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dream team de Kevin Warsh: los equipos que conformó para reformar la Reserva Federal</w:t>
      </w:r>
    </w:p>
    <w:p>
      <w:pPr>
        <w:spacing w:before="40" w:after="60"/>
        <w:ind w:left="283"/>
      </w:pPr>
      <w:r>
        <w:rPr>
          <w:rFonts w:ascii="Arial" w:hAnsi="Arial"/>
          <w:color w:val="404040"/>
          <w:sz w:val="21"/>
        </w:rPr>
        <w:t>Entre los miembros se encuentran el exgobernador del Banco de la Reserva de la India, Raghuram Rajan; el exCEO de Walmart, Doug McMillon; y el cofundador de la firma de capitales de riesgo Andreessen Horowitz, Marc Andreessen. Kevin Warsh llegó con ánimo de cambios a la presidencia de la Reserva Federal de Estados Unidos. Así lo reiteró en sus primeras comparecencias en el Capitolio, donde arribó la semana pasada con grupos de trabajo ya conformados para revisar herramientas claves del banco central. “Ahora mismo están en fase de investigación”, dijo durante su testimonio ante el Comité de Servicios Financieros de la Cámara de Representantes, donde confirmó a los miembros que integrarán estas mesas de trabajo y entre los cuales se encuentran varias figuras destacadas de Wall Street, empresarios y una amplia gama de académicos y exfuncionarios de la Fed y la Casa Blanca.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Resiliencia en construcción: cómo el Golfo redibuja sus rutas para reducir la dependencia de Ormuz</w:t>
      </w:r>
    </w:p>
    <w:p>
      <w:pPr>
        <w:spacing w:before="40" w:after="60"/>
        <w:ind w:left="283"/>
      </w:pPr>
      <w:r>
        <w:rPr>
          <w:rFonts w:ascii="Arial" w:hAnsi="Arial"/>
          <w:color w:val="404040"/>
          <w:sz w:val="21"/>
        </w:rPr>
        <w:t>Una nueva generación de oleoductos, puertos y corredores logísticos busca ampliar las alternativas comerciales. Según Goldman Sachs, hacia fines de 2028, la capacidad para sacar crudo sin pasar por la vía marítima entrampada en la guerra superaría los 14 millones de barriles diarios. Una nueva generación de infraestructura estratégica comienza a transformar el Golfo Pérsico. Oleoductos, puertos y corredores logísticos impulsados por gobiernos y grandes compañías buscan reducir la exposición de la región al estrecho de Ormuz, cuya vulnerabilidad ha quedado en evidencia con la guerra entre Irán y Estados Unidos y las agresiones que continúan afectando la navegación comercial. Aunque el Joint Maritime Information Center (JMIC) señala que el estrecho permanece abierto, mantiene para la región un nivel de riesgo “Moderado” debido a las amenazas persistentes para el tránsito marítimo.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Arcomedlab logra patente en EEUU de sus implantes craneales que liberan fármacos, llega a Medio Oriente y levanta US$ 500 mil</w:t>
      </w:r>
    </w:p>
    <w:p>
      <w:pPr>
        <w:spacing w:before="40" w:after="60"/>
        <w:ind w:left="283"/>
      </w:pPr>
      <w:r>
        <w:rPr>
          <w:rFonts w:ascii="Arial" w:hAnsi="Arial"/>
          <w:color w:val="404040"/>
          <w:sz w:val="21"/>
        </w:rPr>
        <w:t>La medtech chilena, que ya tiene su tecnología patentada en seis países y en otros 15 en trámite, entrara a Arabia Saudita a través de un socio local, abrirá una operación en Ecuador y sumó nuevos inversionistas. Prótesis de "hueso sintético" diseñada y fabricada por Arcomedlab. Un nuevo paso en su internacionalización acaba de dar la startup chilena Arcomedlab, que diseña y fabrica implantes de “hueso sintético” impresos en 3D: logró obtener la patente de susistema de implantes craneales que liberan fármacosen Estados Unidos y prepara su arribo a nuevos mercados.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DF Lab Opinión / IA: de la curiosidad al criterio</w:t>
      </w:r>
    </w:p>
    <w:p>
      <w:pPr>
        <w:spacing w:before="40" w:after="60"/>
        <w:ind w:left="283"/>
      </w:pPr>
      <w:r>
        <w:rPr>
          <w:rFonts w:ascii="Arial" w:hAnsi="Arial"/>
          <w:color w:val="404040"/>
          <w:sz w:val="21"/>
        </w:rPr>
        <w:t>"El verdadero salto para Chile está en llevar la IA desde el escritorio individual hacia el corazón de los procesos productivos". El estudio de Harvard Business ReviewHow People Are Really Using AI in 2026, de Marc Zao, confirma algo que ya se siente en oficinas, salas de clases y hogares: la inteligencia artificial dejó de ser una novedad tecnológica y pasó a ser una herramienta cotidiana. Pero el hallazgo más relevante no es que la gente use más IA, sino para qué la usa. La utiliza para pensar, escribir, aprender, programar, acompañarse, ordenar decisiones y ganar tiempo. No estamos frente a una simple automatización; estamos frente a una tecnología que entra en la forma en que razonamos. En el mundo, esto cambia la discusión. Durante años se habló de IA como una amenaza lejana: robots reemplazando empleos o algoritmos tomando decisiones. Hoy el fenómeno es más silencioso y más profundo. La IA se instala como una segunda capa cognitiva. No reemplaza de inmediato a las personas, pero modifica el estándar mínimo de productividad. Quien sabe usarla bien trabaja más rápido, compara alternativas, escribe mejor y aprende con un tutor disponible todo el día. Quien no la usa queda en desventaja.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reestructuración de Spora para sortear la crisis por caída de un inversionista y pérdidas anuales por US$ 1 millón</w:t>
      </w:r>
    </w:p>
    <w:p>
      <w:pPr>
        <w:spacing w:before="40" w:after="60"/>
        <w:ind w:left="283"/>
      </w:pPr>
      <w:r>
        <w:rPr>
          <w:rFonts w:ascii="Arial" w:hAnsi="Arial"/>
          <w:color w:val="404040"/>
          <w:sz w:val="21"/>
        </w:rPr>
        <w:t>La startup, en problemas financieros tras el retiro de un family office alemán que lideraba una inversión, despidió al 40% del equipo, fusionó áreas y abrió una ronda de emergencia. José Miguel Figueroa y Hernán Rebolledo, fundadores de Spora. Mientras Spora celebraba sullegada a las vitrinas del lujo londinense, puertas adentro, la startup biotecnológica chilena vive una crisis financiera.La compañía, que fabrica biomateriales a partir de micelio de hongos, estáen medio de un refinanciamiento y plan de ajuste que implicó el despido del 40% del equipo y la fusión de áreas.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Estado y empresas: La deuda con la I+D</w:t>
      </w:r>
    </w:p>
    <w:p>
      <w:pPr>
        <w:spacing w:after="80"/>
      </w:pPr>
      <w:r>
        <w:rPr>
          <w:rFonts w:ascii="Arial" w:hAnsi="Arial"/>
          <w:i/>
          <w:color w:val="999999"/>
          <w:sz w:val="20"/>
        </w:rPr>
        <w:t>(Sin detalle disponible.)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20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