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8 De Septiembre De 2026</w:t>
      </w:r>
    </w:p>
    <w:p>
      <w:pPr>
        <w:jc w:val="center"/>
      </w:pPr>
      <w:r>
        <w:rPr>
          <w:rFonts w:ascii="Arial" w:hAnsi="Arial"/>
          <w:color w:val="999999"/>
          <w:sz w:val="20"/>
        </w:rPr>
        <w:t>6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cae fuerte bajo los $ 930 frente al cobre en nuevo récord y un IPC muy por sobre lo esperado en Chile</w:t>
      </w:r>
    </w:p>
    <w:p>
      <w:pPr>
        <w:spacing w:before="40" w:after="60"/>
        <w:ind w:left="283"/>
      </w:pPr>
      <w:r>
        <w:rPr>
          <w:rFonts w:ascii="Arial" w:hAnsi="Arial"/>
          <w:color w:val="404040"/>
          <w:sz w:val="21"/>
        </w:rPr>
        <w:t>El peso chileno se fortaleció este martes, con el dólar cayendo $8,1 hasta los $927, impulsado simultáneamente por el IPC de agosto que registró un alza de 0,6% mensual (4,1% anual) —el doble de lo esperado— y por el nuevo récord del cobre en la LME que alcanzó US$6,69 por libra. El conflicto en Medio Oriente elevó el petróleo Brent a US$97,8 por barril tras ataques hutíes a instalaciones sauditas, aunque el dólar global no se benefició de la tensión geopolítica y acumuló una caída semanal de 0,4%. El dato de inflación refuerza la expectativa de que el Banco Central mantendría la TPM sin cambios en su reunión de las 18 horas, lo que según el trader de Bci Jorge Concha mantiene el atractivo del peso chileno vía carry trade.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se estabiliza y Wall Street abre con leve caída tras nueva alza del petróleo por conflicto en Medio Oriente</w:t>
      </w:r>
    </w:p>
    <w:p>
      <w:pPr>
        <w:spacing w:before="40" w:after="60"/>
        <w:ind w:left="283"/>
      </w:pPr>
      <w:r>
        <w:rPr>
          <w:rFonts w:ascii="Arial" w:hAnsi="Arial"/>
          <w:color w:val="404040"/>
          <w:sz w:val="21"/>
        </w:rPr>
        <w:t>La Bolsa de Santiago operó prácticamente plana, con el MSCI IPSA en 11.457 puntos, en un contexto marcado por el encarecimiento del petróleo Brent (+1,2%, a US$98,1 por barril) y la sorpresa inflacionaria local del IPC de agosto, que subió 0,6% mensual y aceleró la inflación anual a 4,1%. En Wall Street, el Dow Jones cedía 0,7% y el S&amp;P 500 retrocedía 0,1% en los primeros negocios, mientras los inversionistas aguardan el IPC de agosto norteamericano del viernes como dato decisivo para confirmar si la Fed sube tasas la semana siguiente. El cobre batió un nuevo récord histórico en la LME y el dólar global se debilitó, en un entorno de mercado que no responde al patrón tradicional de refugio ante tensiones geopolíticas.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cobre referencial alcanza nuevos máximos en Londres impulsado por la escasez de oferta y el temor a los aranceles</w:t>
      </w:r>
    </w:p>
    <w:p>
      <w:pPr>
        <w:spacing w:before="40" w:after="60"/>
        <w:ind w:left="283"/>
      </w:pPr>
      <w:r>
        <w:rPr>
          <w:rFonts w:ascii="Arial" w:hAnsi="Arial"/>
          <w:color w:val="404040"/>
          <w:sz w:val="21"/>
        </w:rPr>
        <w:t>El cobre alcanzó un nuevo máximo histórico en la LME de US$14.635 por tonelada (US$6,63 por libra), subiendo por cuarto día consecutivo y acumulando un alza de 17% en 2026, impulsado por escasez de oferta a corto plazo y el traslado masivo de cobre refinado hacia EE.UU. ante la perspectiva de aranceles, lo que redujo los inventarios en los almacenes de la LME y mantuvo la curva en una marcada situación de backwardation. La demanda de China se espera que repunte en la temporada alta de manufactura, y los inventarios en la Bolsa de Futuros de Shanghái cayeron a su nivel más bajo desde 2024, mientras China inyectó más de US$50 mil millones a su sistema financiero. Problemas operativos en proyectos mineros clave alimentan el riesgo de que la producción minera mundial registre su primera caída anual desde 2017, y analistas como Jia Zheng de Chuangyuan proyectan que el metal podría alcanzar los US$15.000 por tonelada.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Gobierno posterga para mañana miércoles el estreno de la reforma de capitales MK4: dejaría fuera cambios a la TMC y licitación de seguros de desgravamen</w:t>
      </w:r>
    </w:p>
    <w:p>
      <w:pPr>
        <w:spacing w:before="40" w:after="60"/>
        <w:ind w:left="283"/>
      </w:pPr>
      <w:r>
        <w:rPr>
          <w:rFonts w:ascii="Arial" w:hAnsi="Arial"/>
          <w:color w:val="404040"/>
          <w:sz w:val="21"/>
        </w:rPr>
        <w:t>La reforma al mercado de capitales MK4, preparada por el Ministerio de Hacienda bajo la conducción del ministro Jorge Quiroz, postergó un día su presentación al Congreso al 9 de septiembre para que sea encabezada por el Presidente Kast, quien le dará un sello ciudadano. Los ejes del proyecto incluyen un fondo estatal para financiar y adquirir créditos hipotecarios, un subsidio para incentivar el ahorro destinado al pie de una vivienda (con un esquema en que el Estado aportaría 4 puntos porcentuales al lograr el afiliado ahorrar el 6% del valor), y medidas para posicionar a Chile como centro financiero regional mediante un régimen especial para holdings y cambios tributarios. Quedaron fuera del texto final la flexibilización de la Tasa Máxima Convencional (TMC) por resistencia política y la licitación de los seguros de desgravamen en créditos de consumo.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Fondos generacionales: ¿qué ocurrirá con los productos de ahorro voluntario con el nuevo régimen de inversión?</w:t>
      </w:r>
    </w:p>
    <w:p>
      <w:pPr>
        <w:spacing w:before="40" w:after="60"/>
        <w:ind w:left="283"/>
      </w:pPr>
      <w:r>
        <w:rPr>
          <w:rFonts w:ascii="Arial" w:hAnsi="Arial"/>
          <w:color w:val="404040"/>
          <w:sz w:val="21"/>
        </w:rPr>
        <w:t>La Superintendencia de Pensiones publicó una norma en consulta para regular el APV y la Cuenta 2 bajo el nuevo esquema de fondos generacionales que reemplazará a los multifondos en abril de 2027, permitiendo a los afiliados elegir hasta dos de los 10 fondos generacionales disponibles para sus ahorros voluntarios. Quienes no realicen la elección entre el 15 y el 31 de marzo de 2027 serán asignados automáticamente al fondo generacional correspondiente a su ahorro obligatorio según edad, pudiendo cambiar posteriormente. Las AFP gestionan actualmente 2,05 millones de cuentas APV con US$6.357 millones bajo administración, concentrando el 60,2% del mercado de ahorro voluntario; expertos sugieren diversificar en APV de otras instituciones para ganar exposición a renta variable según el tramo de edad.</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Sueca Volvo apuesta por Santiago e invierte US$ 11 millones en el centro logístico más avanzado de América Latina</w:t>
      </w:r>
    </w:p>
    <w:p>
      <w:pPr>
        <w:spacing w:before="40" w:after="60"/>
        <w:ind w:left="283"/>
      </w:pPr>
      <w:r>
        <w:rPr>
          <w:rFonts w:ascii="Arial" w:hAnsi="Arial"/>
          <w:color w:val="404040"/>
          <w:sz w:val="21"/>
        </w:rPr>
        <w:t>AB Volvo inició la construcción de un centro regional de distribución de repuestos en Santiago, con una inversión de US$11,1 millones que contempla 5.328 m² de almacenamiento, 490 m² de oficinas y espacios dedicados a baterías para la flota eléctrica, con operación proyectada para 2027. La instalación será el primer centro de distribución latinoamericano diseñado desde cero bajo los estándares globales de alto desempeño de Volvo, y permitirá ampliar en un tercio el portafolio de piezas almacenadas y triplicar las líneas de pedido hacia 2030, abasteciendo la red de 14 sucursales del país. Chile opera como caso piloto regional para la marca, que cerró 2025 como segunda en el mercado de camiones pesados con 19% de participación y es proveedora histórica del transporte público de Santiago desde 2005.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Colusión en vales de alimentación: principal competidor entra al juicio y acusa daños que siguen hasta hoy</w:t>
      </w:r>
    </w:p>
    <w:p>
      <w:pPr>
        <w:spacing w:before="40" w:after="60"/>
        <w:ind w:left="283"/>
      </w:pPr>
      <w:r>
        <w:rPr>
          <w:rFonts w:ascii="Arial" w:hAnsi="Arial"/>
          <w:color w:val="404040"/>
          <w:sz w:val="21"/>
        </w:rPr>
        <w:t>Amipass, a través de su matriz FDD Innovación y Crecimiento, solicitó al TDLC incorporarse como tercero coadyuvante de la FNE en el juicio contra Pluxee (ex Sodexo) y Edenred por presunta colusión en el mercado de vales de alimentación, argumentando que el acuerdo de asignación de zonas y cuotas operado entre 2013 y 2021 le generó un 'daño estructural doble'. Según Amipass, el reparto de clientes le impidió captar nuevas cuentas y su exclusión de grandes licitaciones le negó la escala necesaria para ampliar su red de comercios afiliados; la empresa sostiene que los efectos persisten hoy porque las acusadas mantienen posiciones relevantes y contratos adjudicados en ese período, cuando concentraban conjuntamente más del 80% del mercado. Amipass, ligada al empresario Patricio Dueñas, se reservó el derecho de ejercer acciones civiles contra personas y firmas beneficiadas por la conducta, sin cuantificar aún los perjuicios.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Corte condena a minera de Lundin a pagar millonaria indemnización a firma de ingeniería chilena</w:t>
      </w:r>
    </w:p>
    <w:p>
      <w:pPr>
        <w:spacing w:before="40" w:after="60"/>
        <w:ind w:left="283"/>
      </w:pPr>
      <w:r>
        <w:rPr>
          <w:rFonts w:ascii="Arial" w:hAnsi="Arial"/>
          <w:color w:val="404040"/>
          <w:sz w:val="21"/>
        </w:rPr>
        <w:t>La Corte de Apelaciones de Santiago confirmó la sentencia que condenó a Minera Lumina Copper Chile (controlada por Lundin Mining, propietaria de Caserones) a indemnizar a Sitac Aguas Industriales en US$2 millones, rechazando tanto el recurso de casación de la minera como la solicitud de Sitac de elevar el monto a US$5,6 millones. El litigio se originó en un Memorándum de Entendimiento suscrito en 2012 para un proyecto binacional de traslado de agua desde Argentina hasta la mina Caserones, ubicada a 4.600 metros de altitud y a solo 9 kilómetros de la frontera. El tribunal sostuvo que el MoU tenía carácter no vinculante, pero que la extensión de las negociaciones por más de dos años —con coordinación técnica e institucional— generó en Sitac una confianza razonable en la continuidad leal del proceso que la minera no honró.</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Antofagasta pide asesoría a Metro para construir un tren urbano a Mejillones y busca que una filial regional de la empresa opere el servicio</w:t>
      </w:r>
    </w:p>
    <w:p>
      <w:pPr>
        <w:spacing w:before="40" w:after="60"/>
        <w:ind w:left="283"/>
      </w:pPr>
      <w:r>
        <w:rPr>
          <w:rFonts w:ascii="Arial" w:hAnsi="Arial"/>
          <w:color w:val="404040"/>
          <w:sz w:val="21"/>
        </w:rPr>
        <w:t>El gobierno regional de Antofagasta busca impulsar un tren urbano entre Antofagasta y Mejillones aprovechando la línea férrea existente del FCAB, y ha solicitado asesoría técnica a Metro S.A. para estudios de factibilidad, con la aspiración de que Metro opere el servicio a través de una filial regional descentralizada. El gobernador Ricardo Díaz, respaldado por la empresa privada, los municipios y el FCAB, vinculó el proyecto a la creación de una zona metropolitana entre ambas comunas e identificó aproximadamente 47 kilómetros de línea disponible entre distintos sectores. El proyecto forma parte de la Estrategia Regional Minera de Antofagasta presentada el 2 de septiembre con 37 iniciativas, aunque parlamentarios de la zona solicitaron formalmente antecedentes sobre su factibilidad, financiamiento y plazos antes de respaldarla.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SII inicia la búsqueda del cargo de una de sus direcciones más relevantes: sueldo alcanza a $ 8,7 millones para controlar a 3.297 grupos empresariales</w:t>
      </w:r>
    </w:p>
    <w:p>
      <w:pPr>
        <w:spacing w:before="40" w:after="60"/>
        <w:ind w:left="283"/>
      </w:pPr>
      <w:r>
        <w:rPr>
          <w:rFonts w:ascii="Arial" w:hAnsi="Arial"/>
          <w:color w:val="404040"/>
          <w:sz w:val="21"/>
        </w:rPr>
        <w:t>La Alta Dirección Pública abrió el concurso para proveer el cargo de director de la Dirección de Grandes Contribuyentes (DGC) del SII, vacante desde hace seis meses tras la renuncia de Sergio Henríquez, con un sueldo bruto de $8,7 millones mensuales y plazo de postulación hasta el 21 de septiembre. La DGC controla el cumplimiento tributario de 3.297 grupos empresariales que agrupan 18.420 contribuyentes, los cuales explican el 65,6% de la recaudación tributaria total y el 75% de las ventas del país, constituyendo una de las áreas más críticas del organismo. El llamado se enmarca en el proceso del director del SII, Jorge Trujillo, por completar su equipo ejecutivo, con cinco subdirecciones clave que actualmente carecen de jefaturas titulares.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Molestia en la Comisión de Economía del Senado por ausencia del biministro Daniel Mas para explicar malas cifras de actividad</w:t>
      </w:r>
    </w:p>
    <w:p>
      <w:pPr>
        <w:spacing w:before="40" w:after="60"/>
        <w:ind w:left="283"/>
      </w:pPr>
      <w:r>
        <w:rPr>
          <w:rFonts w:ascii="Arial" w:hAnsi="Arial"/>
          <w:color w:val="404040"/>
          <w:sz w:val="21"/>
        </w:rPr>
        <w:t>La Comisión de Economía del Senado acordó citar formalmente —no solo invitar— al biministro de Economía Daniel Mas luego de que él y el subsecretario de Hacienda se excusaran de asistir para explicar la contracción del Imacec de julio de 1,5% anual frente al año anterior. La molestia de los senadores se intensificó con el dato del IPC de agosto, conocido justo antes de la sesión, que registró un alza de 0,6%, duplicando las estimaciones del mercado y agravando el diagnóstico económico. El ministro deberá comparecer ante la comisión después de la semana de trabajo en terreno del Congreso, a pedido del senador oficialista Matías Walker, quien subrayó que detrás de las cifras 'hay familias afectadas'.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Gael Yeomans, nueva presidenta del Frente Amplio: “El presupuesto se tiene que enfocar en el objetivo de aumentar el empleo”</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IPC de agosto sorprende con un alza que duplica expectativas y la inflación en 12 meses sube a 4,1%</w:t>
      </w:r>
    </w:p>
    <w:p>
      <w:pPr>
        <w:spacing w:before="40" w:after="60"/>
        <w:ind w:left="283"/>
      </w:pPr>
      <w:r>
        <w:rPr>
          <w:rFonts w:ascii="Arial" w:hAnsi="Arial"/>
          <w:color w:val="404040"/>
          <w:sz w:val="21"/>
        </w:rPr>
        <w:t>El IPC de agosto subió 0,6% mensual según el INE, duplicando el consenso de mercado de 0,3%, con lo que la inflación anual se aceleró a 4,1%, impulsada principalmente por alimentos y bebidas no alcohólicas (+1,4%, incidencia de 0,317 pp.) y transporte (+1,6%, incidencia de 0,201 pp.); los pasajes aéreos internacionales se dispararon 32,6% mensual, mientras la carne de vacuno subió 3,9% y las papas un 17,8% en la antesala de Fiestas Patrias. Economistas como Jorge Selaive de Scotiabank proyectan que la inflación cerrará 2026 entre 4,5% y 5,0%, por encima de las expectativas del mercado, aunque analistas señalan que la inflación subyacente avanzó solo 0,1% al excluir componentes volátiles, lo que sugiere que no hay aún una aceleración generalizada de presiones estructurales. El dato refuerza la expectativa de que el Banco Central mantendrá la tasa de política monetaria sin cambios en su decisión de este martes, publicándose el Informe de Política Monetaria el miércoles.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Jorge Ortiz, socio de Audit &amp; Assurance de Deloitte y los impuestos diferidos: "El resultado financiero por estos cambios va a variar"</w:t>
      </w:r>
    </w:p>
    <w:p>
      <w:pPr>
        <w:spacing w:before="40" w:after="60"/>
        <w:ind w:left="283"/>
      </w:pPr>
      <w:r>
        <w:rPr>
          <w:rFonts w:ascii="Arial" w:hAnsi="Arial"/>
          <w:color w:val="404040"/>
          <w:sz w:val="21"/>
        </w:rPr>
        <w:t>En este último episodio de la temporada de La Ruta Tributaria, el experto aborda cómo quedan los impuestos con la ley miscelánea. En este último episodio de la temporada de La Ruta Tributaria, Jorge Ortiz, socio de Audit &amp; Assurance de Deloitte, aborda cómo quedan los impuestos con la ley miscelánea.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Kast y Quiroz rayan la cancha: trazan los ejes del Presupuesto 2027 y piden a los ministerios acotar expectativas</w:t>
      </w:r>
    </w:p>
    <w:p>
      <w:pPr>
        <w:spacing w:before="40" w:after="60"/>
        <w:ind w:left="283"/>
      </w:pPr>
      <w:r>
        <w:rPr>
          <w:rFonts w:ascii="Arial" w:hAnsi="Arial"/>
          <w:color w:val="404040"/>
          <w:sz w:val="21"/>
        </w:rPr>
        <w:t>El Presidente Kast encabezó una reunión de casi tres horas con los ministros Quiroz y Alvarado y el director de Presupuestos para definir los lineamientos del Presupuesto 2027, que debe presentarse al Congreso antes del 30 de septiembre con un crecimiento máximo del gasto de 1% respecto al año en curso. Los ejes priorizados son salud, seguridad, vivienda y economía con foco en empleo, y los ministerios fueron instruidos a limitar sus solicitudes a lo estrictamente prioritario, mientras Quiroz reafirmó su compromiso de combatir el fraude social. Kast reconoció que la meta de crecimiento del PIB de 1,8% para 2026 será difícil de alcanzar y señaló que el desempleo sigue siendo el principal problema económico sin resolver, aunque expresó optimismo en la aprobación de la ley de reactivación y los proyectos de inversión anunciados para generar empleo hacia fin de año.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Exportaciones de China suben 25% y encaminan al país a un superávit comercial anual récord</w:t>
      </w:r>
    </w:p>
    <w:p>
      <w:pPr>
        <w:spacing w:before="40" w:after="60"/>
        <w:ind w:left="283"/>
      </w:pPr>
      <w:r>
        <w:rPr>
          <w:rFonts w:ascii="Arial" w:hAnsi="Arial"/>
          <w:color w:val="404040"/>
          <w:sz w:val="21"/>
        </w:rPr>
        <w:t>Las exportaciones de China crecieron 25% interanual en agosto, impulsadas por el sector tecnológico vinculado al despliegue global de inteligencia artificial, mientras las importaciones aumentaron 28,2%, en parte por la fuerte demanda de semiconductores provenientes de Corea del Sur, cuyas exportaciones a China alcanzaron un récord mensual de US$32.100 millones (+108% anual). El superávit comercial acumulado entre enero y agosto llegó a US$805.510 millones, encaminando a China a superar su récord anual de US$1,2 billón de 2025, lo que genera alarma en la UE y otros socios comerciales ante el riesgo de desindustrialización por productos chinos a precios competitivos. Los datos se publican días antes de una reunión entre Xi Jinping y Trump para decidir si extienden por un año la tregua comercial que expira en noviembre, en un contexto donde EE.UU. exige reducción de subsidios chinos y China pide eliminar controles a exportaciones de chips de alta tecnología.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Resultados PISA: Chile empeora en lectura y matemáticas y exhibe nueva brecha computacional frente a la OCDE</w:t>
      </w:r>
    </w:p>
    <w:p>
      <w:pPr>
        <w:spacing w:before="40" w:after="60"/>
        <w:ind w:left="283"/>
      </w:pPr>
      <w:r>
        <w:rPr>
          <w:rFonts w:ascii="Arial" w:hAnsi="Arial"/>
          <w:color w:val="404040"/>
          <w:sz w:val="21"/>
        </w:rPr>
        <w:t>Chile retrocedió en PISA 2025 con 436 puntos en lectura (12 menos que en 2022) y 403 en matemáticas (9 menos), manteniéndose 25 y 60 puntos respectivamente por debajo del promedio OCDE; en la nueva prueba de resolución de problemas computacionales obtuvo 466 puntos frente al promedio OCDE de 500, evidenciando una brecha también en competencias digitales clave. La caída es un fenómeno global —42 de 74 países retrocedieron en lectura y 38 en matemáticas—, y la OCDE advierte que la pandemia es solo parte del diagnóstico: señala también como factores el deterioro del compromiso escolar, el aumento del ausentismo y la transformación de los hábitos digitales, con más alumnos dedicando tiempo a redes sociales y menos a tareas de información estructurada. Chile exhibe una tasa de distracción digital en clases del 40%, frente al 28% promedio OCDE, y el informe vincula estas interrupciones con menor desempeño en ciencias incluso al controlar por nivel socioeconómico.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Mistral AI eleva su valoración a US$ 24 mil millones en ronda liderada por Samsung</w:t>
      </w:r>
    </w:p>
    <w:p>
      <w:pPr>
        <w:spacing w:before="40" w:after="60"/>
        <w:ind w:left="283"/>
      </w:pPr>
      <w:r>
        <w:rPr>
          <w:rFonts w:ascii="Arial" w:hAnsi="Arial"/>
          <w:color w:val="404040"/>
          <w:sz w:val="21"/>
        </w:rPr>
        <w:t>Mistral AI recaudó 3.000 millones de euros (US$3.500 millones) en una ronda liderada por Samsung Electronics, el ScaleUp Europe Fund de la UE y PSG Equity, casi duplicando su valoración anterior de 11.700 millones de euros en solo un año, con destino al desarrollo de IA industrial, infraestructura de centros de datos y expansión en EE.UU. y Asia. La compañía francesa, fundada en 2023 por exinvestigadores de DeepMind y Meta, se posiciona como alternativa soberana europea a OpenAI y Anthropic mediante modelos de código abierto, con acuerdos ya cerrados con Airbus, BMW y ASML, esta última con una participación del 11% adquirida el año pasado. El contexto favorable para Mistral se ve reforzado por la decisión de la administración Trump de restringir el acceso de ciudadanos extranjeros a los modelos avanzados de Anthropic, lo que aumenta la preocupación europea por la dependencia tecnológica de firmas estadounidenses.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Brotes verdes en el sector inmobiliario</w:t>
      </w:r>
    </w:p>
    <w:p>
      <w:pPr>
        <w:spacing w:before="40" w:after="60"/>
        <w:ind w:left="283"/>
      </w:pPr>
      <w:r>
        <w:rPr>
          <w:rFonts w:ascii="Arial" w:hAnsi="Arial"/>
          <w:color w:val="404040"/>
          <w:sz w:val="21"/>
        </w:rPr>
        <w:t>El mercado inmobiliario de la Región Metropolitana muestra señales incipientes de recuperación: se comercializaron 4.863 viviendas en el segundo trimestre de 2026, un alza de 1,7% respecto al trimestre anterior, con La Florida como mercado más dinámico (+20,3%), y las ventas netas de departamentos nuevos en el Gran Santiago sumaron 12.110 unidades entre enero y julio, un alza de 6,7% versus 2025. Sin embargo, el volumen total del trimestre aún está 4,5% por debajo del mismo período de 2025, el déficit habitacional estimado por la CChC supera las 980.000 viviendas y el sector ha perdido cerca de 200.000 empleos desde antes de la pandemia. El artículo llama a ejecutar de forma coordinada el subsidio a la tasa hipotecaria y la suspensión del IVA a la vivienda para que estos 'brotes verdes' se conviertan en reactivación real, advirtiendo sobre los riesgos operativos del mecanismo de devolución del IVA, que puede demorar hasta dos meses por operación.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como “país adecuado”</w:t>
      </w:r>
    </w:p>
    <w:p>
      <w:pPr>
        <w:spacing w:before="40" w:after="60"/>
        <w:ind w:left="283"/>
      </w:pPr>
      <w:r>
        <w:rPr>
          <w:rFonts w:ascii="Arial" w:hAnsi="Arial"/>
          <w:color w:val="404040"/>
          <w:sz w:val="21"/>
        </w:rPr>
        <w:t>La editorial “El costo diferido de una protección postergada” (3 de septiembre) acierta en el diagnóstico. Quisiera agregar un costo que suele pasar inadvertido. Chile no solo aspira a recibir datos de otros países en sus centros de datos. Aspira a vender servicios digitales al mundo: software, plataformas, servicios financieros y de salud a distancia, externalización de procesos. Y cada uno de esos negocios trae consigo datos personales de extranjeros que llegan a Chile por esa vía. Quien contrata en Europa, Estados Unidos o Brasil exige hoy, como condición de entrada, una señal regulatoria clara: que esos datos quedarán bajo un entorno jurídico protegido, con autoridad fiscalizadora y derechos exigibles. No es un plus reputacional, pasó a ser un requisito para cerrar contratos.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Biotecnología arraigada en los territorios</w:t>
      </w:r>
    </w:p>
    <w:p>
      <w:pPr>
        <w:spacing w:before="40" w:after="60"/>
        <w:ind w:left="283"/>
      </w:pPr>
      <w:r>
        <w:rPr>
          <w:rFonts w:ascii="Arial" w:hAnsi="Arial"/>
          <w:color w:val="404040"/>
          <w:sz w:val="21"/>
        </w:rPr>
        <w:t>El artículo destaca la realización de la tercera edición de Biotech Week en Puerto Varas como señal positiva de que el debate biotecnológico se descentraliza hacia los territorios donde efectivamente ocurren los procesos productivos, alejándose de la concentración en la Región Metropolitana. La biotecnología tiene un carácter territorial por naturaleza, ya que sus soluciones responden a los recursos naturales, capacidades científicas y desafíos productivos específicos de cada zona. La autora, directora ejecutiva del Centro de Biotecnología Traslacional de SOFOFA Hub, concluye que para que la biotecnología genere productividad, sostenibilidad y nuevos negocios, el ecosistema de innovación debe construirse donde ocurre la transformación real.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8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