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20 De Mayo De 2026</w:t>
      </w:r>
    </w:p>
    <w:p>
      <w:pPr>
        <w:jc w:val="center"/>
      </w:pPr>
      <w:r>
        <w:rPr>
          <w:rFonts w:ascii="Arial" w:hAnsi="Arial"/>
          <w:color w:val="999999"/>
          <w:sz w:val="20"/>
        </w:rPr>
        <w:t>6 secciones  ·  17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cae hasta perder los $ 900 mientras venta de bonos se toma un respiro y precios del cobre suben con fuerza</w:t>
      </w:r>
    </w:p>
    <w:p>
      <w:pPr>
        <w:spacing w:before="40" w:after="60"/>
        <w:ind w:left="283"/>
      </w:pPr>
      <w:r>
        <w:rPr>
          <w:rFonts w:ascii="Arial" w:hAnsi="Arial"/>
          <w:color w:val="404040"/>
          <w:sz w:val="21"/>
        </w:rPr>
        <w:t>El tipo de cambio retrocedió $8,2 hasta $899,1 este miércoles, alcanzando mínimos de la sesión, en una jornada marcada por la estabilización de las tasas soberanas globales y la espera de señales diplomáticas en Medio Oriente. El cobre Comex saltó 1,9% a US$6,32 por libra, mientras el petróleo Brent cedía 3,7% a US$107 el barril y el dólar index retrocedía 0,2% a 99,2 puntos. A las 14:00 horas se publicarían las actas de la última reunión de la Fed, seguidas por los resultados trimestrales de Nvidia al cierre del mercado estadounidense, eventos clave para los mercados de renta variable y activos vinculados a la inteligencia artificial.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al alza y el IPSA recupera los 10.400 puntos en medio de compras globales previo a los resultados de Nvidia</w:t>
      </w:r>
    </w:p>
    <w:p>
      <w:pPr>
        <w:spacing w:before="40" w:after="60"/>
        <w:ind w:left="283"/>
      </w:pPr>
      <w:r>
        <w:rPr>
          <w:rFonts w:ascii="Arial" w:hAnsi="Arial"/>
          <w:color w:val="404040"/>
          <w:sz w:val="21"/>
        </w:rPr>
        <w:t>El S&amp;P IPSA repuntó 0,6% hasta 10.414 puntos a media mañana, liderado por ILC (+2,7%), Cencosud (+2,3%) y Santander (+2%), recuperándose tras cerrar en mínimos de casi dos meses en la sesión anterior. En Wall Street el Nasdaq avanzaba 0,5% y el S&amp;P 500 ganaba 0,3%, mientras en Europa el Euro Stoxx 50 subía 1% en medio de una fuerte ola compradora de deuda soberana. El mercado se mantiene a la espera de los resultados de Nvidia, empresa que concentra las expectativas sobre el estado del gasto en infraestructura de inteligencia artificial, con analistas advirtiendo que los resultados deberán ser lo suficientemente sólidos para justificar el reciente rally de las acciones tecnológicas.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Fürst sigue invirtiendo en Banco de Chile: paga $ 11.780 millones y eleva a 1,32% su participación</w:t>
      </w:r>
    </w:p>
    <w:p>
      <w:pPr>
        <w:spacing w:before="40" w:after="60"/>
        <w:ind w:left="283"/>
      </w:pPr>
      <w:r>
        <w:rPr>
          <w:rFonts w:ascii="Arial" w:hAnsi="Arial"/>
          <w:color w:val="404040"/>
          <w:sz w:val="21"/>
        </w:rPr>
        <w:t>El director Paul Fürst adquirió 70,8 millones de acciones del Banco de Chile entre el lunes y el martes a través de Inversiones Avenida Borgoño, desembolsando $11.780 millones y elevando su participación en el banco al 1,32%, un alza de 0,07 puntos porcentuales respecto a la semana previa. La compra sigue a una inversión de casi $12.500 millones realizada la semana anterior, en paralelo con adquisiciones de acciones de Falabella. El impulso inversor responde a los positivos resultados preliminares de abril del banco, donde el retorno de capital aumentó 4,5 puntos porcentuales interanuales hasta alcanzar 28,3%, nivel que vuelve a rivalizar con el desempeño de Santander.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Penta Vida es la aseguradora con más aportes en los fondos de inversión chilenos</w:t>
      </w:r>
    </w:p>
    <w:p>
      <w:pPr>
        <w:spacing w:before="40" w:after="60"/>
        <w:ind w:left="283"/>
      </w:pPr>
      <w:r>
        <w:rPr>
          <w:rFonts w:ascii="Arial" w:hAnsi="Arial"/>
          <w:color w:val="404040"/>
          <w:sz w:val="21"/>
        </w:rPr>
        <w:t>Las compañías de seguros han consolidado su posición como el principal inversionista institucional en la industria de fondos de inversión chilena, alcanzando el 19% de los aportes totales (US$7.764 millones) al cierre de 2025, por encima de los fondos de pensiones con un 17%. Penta Vida encabeza el ranking con US$1.803 millones invertidos, principalmente en fondos inmobiliarios, capital privado y deuda privada, seguida de Confuturo (US$1.337 millones) y Consorcio Seguros de Vida (US$1.216 millones). El crecimiento se explica en gran parte por el volumen de rentas vitalicias suscritas en 2025, lo que generó mayores recursos disponibles para inversiones de largo plazo, con preferencia por activos inmobiliarios (US$2.297 millones) y de capital privado (US$2.293 millones) a nivel de la industria.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Supervisores de Minera Centinela suspenden huelga tras inicio de mediación obligatoria</w:t>
      </w:r>
    </w:p>
    <w:p>
      <w:pPr>
        <w:spacing w:before="40" w:after="60"/>
        <w:ind w:left="283"/>
      </w:pPr>
      <w:r>
        <w:rPr>
          <w:rFonts w:ascii="Arial" w:hAnsi="Arial"/>
          <w:color w:val="404040"/>
          <w:sz w:val="21"/>
        </w:rPr>
        <w:t>La huelga legal del Sindicato de Supervisores de Minera Centinela, filial de Antofagasta Minerals, quedó temporalmente suspendida luego de que la empresa solicitara mediación obligatoria ante la Dirección del Trabajo, mecanismo que extiende las negociaciones por cinco días hábiles. El conflicto surge tras el rechazo de la última oferta empresarial por parte del 77,21% de los 702 supervisores votantes, quienes consideran que la propuesta no se ajusta al buen momento de la industria ni al alto precio internacional del cobre. El sindicato señaló participar de la mediación con buena fe, aunque calificó el momento y la forma de la solicitud como una señal que «dificulta la construcción de confianzas», en el contexto del avance del proyecto Nueva Centinela, una de las mayores inversiones mineras en desarrollo en Chile.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Exministros y expertos cierran filas por Puerto San Antonio y advierten que postergarlo pondría a Chile “al límite”</w:t>
      </w:r>
    </w:p>
    <w:p>
      <w:pPr>
        <w:spacing w:before="40" w:after="60"/>
        <w:ind w:left="283"/>
      </w:pPr>
      <w:r>
        <w:rPr>
          <w:rFonts w:ascii="Arial" w:hAnsi="Arial"/>
          <w:color w:val="404040"/>
          <w:sz w:val="21"/>
        </w:rPr>
        <w:t>Se aprueba idea de legislar del proyecto de reactivación en la Cámara de Diputados: pasa al Senado la rebaja de impuesto corporativo, la reintegración y el crédito tributario Para los especialistas, el proyecto del Puerto Exterior es clave para evitar congestión logística, mantener la competitividad y sostener la posición del país en las rutas internacionales. Hace algunos meses, el presidente de la Compañía Sudamericana de Vapores, Óscar Hasbún, había planteado que para Chile era más rentable postergar el desarrollo del Puerto Exterior de San Antonio. En cambio, propuso potenciar y ampliar los puertos a lo largo del país, argumentando que tiene más sentido desarrollar infraestructura cerca de los distintos centros de producción que exporta Chile.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Se aprueba idea de legislar del proyecto de reactivación en la Cámara de Diputados: pasa al Senado la rebaja de impuesto corporativo, la reintegración y el crédito tributario</w:t>
      </w:r>
    </w:p>
    <w:p>
      <w:pPr>
        <w:spacing w:before="40" w:after="60"/>
        <w:ind w:left="283"/>
      </w:pPr>
      <w:r>
        <w:rPr>
          <w:rFonts w:ascii="Arial" w:hAnsi="Arial"/>
          <w:color w:val="404040"/>
          <w:sz w:val="21"/>
        </w:rPr>
        <w:t>La Cámara de Diputados aprobó por 90 votos a favor y 59 en contra la idea de legislar del proyecto de reconstrucción y reactivación del gobierno de José Antonio Kast, superando el quórum de 78 votos necesario gracias al apoyo del Partido Nacional Libertario, el Partido de la Gente e independientes. En la votación artículo por artículo ya se aprobaron medidas clave como la reintegración tributaria, la rebaja del impuesto corporativo del 27% al 23%, la exención de contribuciones para adultos mayores, el crédito al empleo y beneficios para inmuebles DFL-2. La atención se centra ahora en la votación de la invariabilidad tributaria de 25 años para proyectos desde US$50 millones, aunque el Ejecutivo también reservó constitucionalidad sobre una indicación del Frente Amplio que incorpora beneficios de sala cuna.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JPMorgan reduce a 1,6% PIB del año y anticipa alza de tasas para cuarto trimestre</w:t>
      </w:r>
    </w:p>
    <w:p>
      <w:pPr>
        <w:spacing w:before="40" w:after="60"/>
        <w:ind w:left="283"/>
      </w:pPr>
      <w:r>
        <w:rPr>
          <w:rFonts w:ascii="Arial" w:hAnsi="Arial"/>
          <w:color w:val="404040"/>
          <w:sz w:val="21"/>
        </w:rPr>
        <w:t>JPMorgan recortó su proyección de crecimiento del PIB de Chile para 2026 desde 2,1% a 1,6%, tras conocerse que la economía cayó 0,5% en el primer trimestre respecto al mismo período de 2025. El banco prevé que en el segundo trimestre el gasto público estará acotado por ajustes de política y el consumo se verá presionado por el alza en los precios de la gasolina, aunque estima que la inversión recuperará impulso y las exportaciones netas mejorarán. Adicionalmente, JPMorgan anticipa que la inflación alcanzará su peak de 4,9% en junio y adelanta alzas de tasas que antes preveía para 2027, proyectando ahora un primer movimiento en el cuarto trimestre de 2026 con la TPM llegando a 5,5% en el tercer trimestre del próximo año.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Hacienda retira de Contraloría reglamento clave que regula el incumplimiento de las metas fiscales</w:t>
      </w:r>
    </w:p>
    <w:p>
      <w:pPr>
        <w:spacing w:before="40" w:after="60"/>
        <w:ind w:left="283"/>
      </w:pPr>
      <w:r>
        <w:rPr>
          <w:rFonts w:ascii="Arial" w:hAnsi="Arial"/>
          <w:color w:val="404040"/>
          <w:sz w:val="21"/>
        </w:rPr>
        <w:t>El Ministerio de Hacienda de Jorge Quiroz retiró el 18 de marzo el reglamento enviado por su antecesor Nicolás Grau que normaba las causales y procedimientos para el incumplimiento de las metas fiscales, el cual había ingresado a la Contraloría recién en enero de este año. El reglamento es pieza clave de la Ley de Responsabilidad Fiscal vigente desde agosto de 2024, ya que define qué constituye un evento extraordinario que justifique desviarse de las metas, los contenidos del plan correctivo y los mecanismos de accountability ante el Consejo Fiscal Autónomo. El retiro ocurre en un contexto donde el déficit estructural de 2025 fue de 3,6% del PIB, muy por encima del objetivo de 1,6%, siendo el segundo año consecutivo en que se incumplen ampliamente las metas fiscales.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Primer Informe de Finanzas Públicas de era Kast se aplaza para el lunes</w:t>
      </w:r>
    </w:p>
    <w:p>
      <w:pPr>
        <w:spacing w:before="40" w:after="60"/>
        <w:ind w:left="283"/>
      </w:pPr>
      <w:r>
        <w:rPr>
          <w:rFonts w:ascii="Arial" w:hAnsi="Arial"/>
          <w:color w:val="404040"/>
          <w:sz w:val="21"/>
        </w:rPr>
        <w:t>El primer Informe de Finanzas Públicas del gobierno de José Antonio Kast, a cargo del ministro Jorge Quiroz y el director de Presupuestos José Pablo Gómez, fue postergado en dos ocasiones: desde el 12 de mayo al 20 de mayo y luego al lunes 25 de mayo. Las razones de la última postergación son la participación del ministro en el ChileDay en Nueva York y Toronto la semana anterior, y la votación del proyecto de reactivación en la Cámara esta semana. El exministro Ignacio Briones expresó sorpresa ante la demora, señalando en redes sociales que se trata de información esperada por el mercado que también habría sido útil para orientar el debate legislativo sobre un proyecto con implicancias fiscales relevantes.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Opinión FT: La crisis energética puede que recién esté comenzando</w:t>
      </w:r>
    </w:p>
    <w:p>
      <w:pPr>
        <w:spacing w:before="40" w:after="60"/>
        <w:ind w:left="283"/>
      </w:pPr>
      <w:r>
        <w:rPr>
          <w:rFonts w:ascii="Arial" w:hAnsi="Arial"/>
          <w:color w:val="404040"/>
          <w:sz w:val="21"/>
        </w:rPr>
        <w:t>El economista Nick Butler, exvicepresidente de BP y académico en King's College London, argumenta que el cierre del estrecho de Ormuz desde fines de febrero está transitando de una escasez energética «imaginaria» a una real, ya que los inventarios que absorbieron el impacto inicial son finitos. Al menos ocho refinerías importantes del Golfo están total o parcialmente fuera de operación, al igual que la planta de GNL de Ras Laffan en Qatar, y la escasez actual se concentra especialmente en combustible de aviación y diésel. Butler advierte que si el estrecho permanece cerrado, la demanda inelástica de estos productos podría disparar los precios y generar un combo de inflación alta con tasas de interés más restrictivas, con consecuencias recesivas globales, mientras el director de la AIE, Fatih Birol, ya ha advertido que el mundo podría enfrentar la mayor crisis energética de la historia.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FAO advierte "crisis agroalimentaria" por cierre del estrecho de Ormuz</w:t>
      </w:r>
    </w:p>
    <w:p>
      <w:pPr>
        <w:spacing w:before="40" w:after="60"/>
        <w:ind w:left="283"/>
      </w:pPr>
      <w:r>
        <w:rPr>
          <w:rFonts w:ascii="Arial" w:hAnsi="Arial"/>
          <w:color w:val="404040"/>
          <w:sz w:val="21"/>
        </w:rPr>
        <w:t>La FAO alertó este miércoles que el cierre del estrecho de Ormuz podría desencadenar una crisis agroalimentaria sistémica con severas consecuencias sobre los precios mundiales de los alimentos en un plazo de 6 a 12 meses, calificándolo como una amenaza estructural y no un problema temporal de transporte. El Índice de Precios de los Alimentos ya registra su tercer aumento consecutivo, impulsado por los altos costos energéticos y las disrupciones del conflicto en Medio Oriente, con perspectivas de deterioro adicional por la llegada del fenómeno de El Niño. Entre las medidas urgentes recomendadas, la FAO propuso habilitar rutas comerciales alternativas, evitar restricciones a las exportaciones, implementar líneas de crédito de emergencia para agricultores y reactivar mecanismos de financiamiento para crisis alimentarias creados en 2022.</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Xi y Putin celebran alianza chino-rusa y firman cerca de 40 pactos para estrechar sus lazos</w:t>
      </w:r>
    </w:p>
    <w:p>
      <w:pPr>
        <w:spacing w:before="40" w:after="60"/>
        <w:ind w:left="283"/>
      </w:pPr>
      <w:r>
        <w:rPr>
          <w:rFonts w:ascii="Arial" w:hAnsi="Arial"/>
          <w:color w:val="404040"/>
          <w:sz w:val="21"/>
        </w:rPr>
        <w:t>Los presidentes Xi Jinping y Vladimir Putin se reunieron en Beijing y firmaron aproximadamente 40 acuerdos de cooperación en áreas como comercio, tecnología, energía, ferrocarriles e inteligencia artificial, destacando la profundización de su alianza estratégica en el contexto de los conflictos en Ucrania e Irán. Putin señaló que Rusia sigue siendo un proveedor confiable de energía para China y que el comercio bilateral está «protegido de influencias externas», mientras Xi llamó a un alto al fuego en la guerra y criticó veladamente la «hegemonía unilateral desenfrenada» de Estados Unidos. Si bien el gasoducto Power of Siberia 2 estuvo en agenda y el Kremlin indicó que sus parámetros principales ya fueron acordados, ninguno de los dos líderes lo mencionó públicamente, en lo que se interpreta como que aún quedan detalles de precio por resolver.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Protestas paralizan rutas estratégicas de Bolivia,“asfixiando” a su economía</w:t>
      </w:r>
    </w:p>
    <w:p>
      <w:pPr>
        <w:spacing w:before="40" w:after="60"/>
        <w:ind w:left="283"/>
      </w:pPr>
      <w:r>
        <w:rPr>
          <w:rFonts w:ascii="Arial" w:hAnsi="Arial"/>
          <w:color w:val="404040"/>
          <w:sz w:val="21"/>
        </w:rPr>
        <w:t>Se aprueba idea de legislar del proyecto de reactivación en la Cámara de Diputados: pasa al Senado la rebaja de impuesto corporativo, la reintegración y el crédito tributario La Paz es la ciudad que más sufre por el desabastecimiento, con escasez incluso de oxígeno, en el marco de las movilizaciones que exigen la salida del Presidente Paz. Camiones varados en caminos y carreteras de Bolivia son las imágenes que acompañan a aquellas que dan cuenta de las masivas protestas que sacuden al país. Y es que el enfrentamiento con policías en los alrededores de la cívica Plaza Murillo en La Paz son solo una parte de la movilización que, pese a haber comenzado hace un mes, se ha recrudecido en las jornadas recientes.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Goldman Sachs liderará mega apertura en bolsa de SpaceX</w:t>
      </w:r>
    </w:p>
    <w:p>
      <w:pPr>
        <w:spacing w:before="40" w:after="60"/>
        <w:ind w:left="283"/>
      </w:pPr>
      <w:r>
        <w:rPr>
          <w:rFonts w:ascii="Arial" w:hAnsi="Arial"/>
          <w:color w:val="404040"/>
          <w:sz w:val="21"/>
        </w:rPr>
        <w:t>Goldman Sachs y Morgan Stanley encabezarán la oferta pública inicial (IPO) de SpaceX, a la que también se suman como bancos líderes Bank of America, Citigroup y JPMorgan Chase, en lo que podría ser la mayor salida a bolsa de la historia. La compañía de Elon Musk —recientemente fusionada con xAI— busca recaudar hasta US$75.000 millones con una valorización superior a US$2 billones, superando ampliamente los US$29.400 millones de la IPO de Saudi Aramco en 2019. En paralelo, SpaceX planea completar la adquisición de la startup de codificación con IA Cursor por US$60.000 millones un mes después de cotizar en bolsa, con una cláusula que obliga a pagar US$10.000 millones si el acuerdo no se concreta.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fantasma de la permisología</w:t>
      </w:r>
    </w:p>
    <w:p>
      <w:pPr>
        <w:spacing w:before="40" w:after="60"/>
        <w:ind w:left="283"/>
      </w:pPr>
      <w:r>
        <w:rPr>
          <w:rFonts w:ascii="Arial" w:hAnsi="Arial"/>
          <w:color w:val="404040"/>
          <w:sz w:val="21"/>
        </w:rPr>
        <w:t>El editorial analiza la anulación por parte del Segundo Tribunal Ambiental de la Resolución de Calificación Ambiental del proyecto de ampliación de Collahuasi, una inversión de US$3.200 millones con más del 90% de avance físico, retrotraída a etapa de evaluación por deficiencias en la ponderación de observaciones sobre comunidades indígenas y medio marino. El fallo resulta particularmente preocupante porque no cuestiona la viabilidad del proyecto sino la forma en que el SEA y el Comité de Ministros procesaron ciertos antecedentes, generando incertidumbre jurídica en un momento en que el gobierno impulsa precisamente medidas para reducir la permisología y acelerar la inversión. El editorial plantea la necesidad de reformar los tribunales ambientales hacia instancias con mayor especialización técnica y jurídica, e incorporar mecanismos que ponderen mejor las consecuencias económicas y sociales de los fallos, sin debilitar las exigencias ambientales ni los derechos de las comunidades.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riesgo de discrecionalidad en ADP</w:t>
      </w:r>
    </w:p>
    <w:p>
      <w:pPr>
        <w:spacing w:before="40" w:after="60"/>
        <w:ind w:left="283"/>
      </w:pPr>
      <w:r>
        <w:rPr>
          <w:rFonts w:ascii="Arial" w:hAnsi="Arial"/>
          <w:color w:val="404040"/>
          <w:sz w:val="21"/>
        </w:rPr>
        <w:t>Consejeros del Sistema de Alta Dirección Pública (ADP) advierten sobre iniciativas que proponen ampliar de 12 a 130 los cargos de libre designación presidencial en el Estado, señalando que ello contraría el propósito fundacional del sistema, que fue precisamente reemplazar la discrecionalidad política por criterios técnicos objetivos. El ADP, creado hace 23 años, posiciona a Chile con el servicio civil más desarrollado de América Latina según el BID, con un subíndice de mérito de 87 puntos. Los consejeros concluyen que el fortalecimiento del Estado no se logra ampliando la discrecionalidad en nombramientos, sino consolidando los mecanismos que garantizan que el mérito sea el eje de la dirección pública.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20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