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18 De Mayo De 2026</w:t>
      </w:r>
    </w:p>
    <w:p>
      <w:pPr>
        <w:jc w:val="center"/>
      </w:pPr>
      <w:r>
        <w:rPr>
          <w:rFonts w:ascii="Arial" w:hAnsi="Arial"/>
          <w:color w:val="999999"/>
          <w:sz w:val="20"/>
        </w:rPr>
        <w:t>5 secciones  ·  24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Bolsa chilena abre estable con inversionistas atentos a posible acercamiento diplomático entre EEUU e Irán</w:t>
      </w:r>
    </w:p>
    <w:p>
      <w:pPr>
        <w:spacing w:before="40" w:after="60"/>
        <w:ind w:left="283"/>
      </w:pPr>
      <w:r>
        <w:rPr>
          <w:rFonts w:ascii="Arial" w:hAnsi="Arial"/>
          <w:color w:val="404040"/>
          <w:sz w:val="21"/>
        </w:rPr>
        <w:t>El IPSA abrió estable en 10.419 puntos tras acumular una caída de más de 3% en la semana anterior, afectado por datos de inflación superiores a lo esperado en EE.UU. y la ausencia de acuerdos concretos sobre el estrecho de Ormuz. AntarChile lideró las ganancias con 18,5% tras conocerse que Inversiones Angelini ofreció comprar hasta 22,7 millones de acciones a $10.000 cada una, sobre el precio de mercado. El petróleo Brent retrocedió 1% a US$108/barril ante señales de una posible exención temporal de sanciones al petróleo iraní propuesta por Washington, lo que también debilitó al dólar a nivel global. El contexto local se vio adicionalmente presionado por la caída del PIB chileno de 0,5% interanual en el primer trimestre, dos décimas por debajo del consenso.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Dólar abre con fuerte baja a niveles de $ 900 en medio de cauto optimismo sobre la reapertura del estrecho de Ormuz</w:t>
      </w:r>
    </w:p>
    <w:p>
      <w:pPr>
        <w:spacing w:before="40" w:after="60"/>
        <w:ind w:left="283"/>
      </w:pPr>
      <w:r>
        <w:rPr>
          <w:rFonts w:ascii="Arial" w:hAnsi="Arial"/>
          <w:color w:val="404040"/>
          <w:sz w:val="21"/>
        </w:rPr>
        <w:t>El tipo de cambio abrió la semana con una caída de $7,5 hasta $901,9, revirtiendo parte del alza de casi $20 acumulada la semana anterior, en línea con el debilitamiento global del dólar ante reportes de una posible flexibilización de EE.UU. en sus negociaciones con Irán para reabrir el estrecho de Ormuz. El cobre Comex cotizó estable en US$6,3/libra tras hundirse casi 5% el viernes, mientras el petróleo Brent caía 1,7% a US$107,3/barril. El PIB de Chile cayó 0,5% interanual en el primer trimestre, por debajo del -0,3% estimado tras el último Imacec, sumando presión sobre el panorama macroeconómico. Analistas de ING destacaron que los fuertes términos de intercambio del cobre son un factor positivo para el peso, aunque advirtieron que el panorama macroeconómico interno es moderadamente bajista.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Masisa negocia venta de su propiedad y austriaca Egger correría con ventaja</w:t>
      </w:r>
    </w:p>
    <w:p>
      <w:pPr>
        <w:spacing w:before="40" w:after="60"/>
        <w:ind w:left="283"/>
      </w:pPr>
      <w:r>
        <w:rPr>
          <w:rFonts w:ascii="Arial" w:hAnsi="Arial"/>
          <w:color w:val="404040"/>
          <w:sz w:val="21"/>
        </w:rPr>
        <w:t>El controlador suizo de Masisa, GN Holding (Viva Trust del empresario Stephan Schmidheiny), habría cambiado su estrategia de incorporar un socio estratégico hacia la venta total de la compañía, con la multinacional austriaca Egger —que compró las operaciones argentinas de Masisa en 2017 por US$155 millones— como el oferente con mayor ventaja en las negociaciones. La empresa acumula cuatro años consecutivos de pérdidas, incluyendo US$28,8 millones en 2025, con ingresos de US$271,4 millones (caída de 7,8%) y un Ebitda de apenas US$9,8 millones al cierre del año pasado. La reestructuración de deuda por US$88 millones condicionaba la entrada de un inversor que aportara al menos US$50 millones en capital, monto que, según fuentes del mercado, tiene más sentido en el contexto de una adquisición que de una alianza. La caja de Masisa llegó a solo US$12 millones al cierre de 2025, desde US$24 millones en 2024.</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Aumentar la presencia en inversionistas retail: los planes de Singular tras alcanzar US$ 1.000 millones en ETF</w:t>
      </w:r>
    </w:p>
    <w:p>
      <w:pPr>
        <w:spacing w:before="40" w:after="60"/>
        <w:ind w:left="283"/>
      </w:pPr>
      <w:r>
        <w:rPr>
          <w:rFonts w:ascii="Arial" w:hAnsi="Arial"/>
          <w:color w:val="404040"/>
          <w:sz w:val="21"/>
        </w:rPr>
        <w:t>Singular AGF, la primera gestora chilena especializada en ETFs, superó los US$1.000 millones en activos bajo gestión a través de 11 instrumentos, creciendo 150% en dos años, liderada por los fondos 'Chile Corporativo' (US$314 millones) y 'Global Equities' (US$224 millones). La firma planea expandirse al segmento retail mediante aplicaciones de arquitectura abierta e influencers financieros, dado que su base actual sigue siendo predominantemente institucional —multifamily offices, AFP y compañías de seguros. La competencia se intensificó con la entrada de BTG Pactual, que lanzó cinco ETFs locales en menos de un año, aunque los socios fundadores Pablo Jaque y Luis Fernando Pérez señalaron que esta competencia valida el mercado y están confiados en la eficiencia de sus productos. El respaldo de Oaktree Capital Management (20% de la propiedad) fue clave para sostener la visión de largo plazo en los años de menor rentabilidad.</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Siete empresas españolas especializadas en agrotecnología presentan adelantos en Chile para potenciar alianzas y oportunidades de negocios</w:t>
      </w:r>
    </w:p>
    <w:p>
      <w:pPr>
        <w:spacing w:before="40" w:after="60"/>
        <w:ind w:left="283"/>
      </w:pPr>
      <w:r>
        <w:rPr>
          <w:rFonts w:ascii="Arial" w:hAnsi="Arial"/>
          <w:color w:val="404040"/>
          <w:sz w:val="21"/>
        </w:rPr>
        <w:t>Siete firmas españolas de agrotecnología —Agerpix, Censens Technologies, Cultifort, Hispanic Agrointeligencia, Imacimus, Lucasbiotech y Ritec— participan en las III Jornadas ICEX en Curicó y Santiago para presentar innovaciones en software agrícola, sistemas de riego inteligente y gestión de datos a productores locales. España exporta unos €75 mil millones anuales en alimentos —nueve veces más que Chile— y busca transferir su experiencia en agrotecnología para potenciar la capacidad exportadora chilena hacia mercados asiáticos, especialmente China. El evento se enfoca especialmente en tecnologías para el manejo del agua ante el creciente estrés hídrico en Chile, donde la oferta española incluye soluciones de detección de humedad del suelo, riego eficiente y plantas desalinizadoras orientadas a la producción de alimentos. El interés de los socios españoles incluye tanto exportación de tecnología como inversión directa en Chile.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Colliers: “La planificación comunal, tal como opera hoy, está activamente encareciendo las viviendas"</w:t>
      </w:r>
    </w:p>
    <w:p>
      <w:pPr>
        <w:spacing w:before="40" w:after="60"/>
        <w:ind w:left="283"/>
      </w:pPr>
      <w:r>
        <w:rPr>
          <w:rFonts w:ascii="Arial" w:hAnsi="Arial"/>
          <w:color w:val="404040"/>
          <w:sz w:val="21"/>
        </w:rPr>
        <w:t>El gerente Inmobiliario de la consultora respalda la propuesta del Ministerio de Vivienda para modificar la Ordenanza General de Urbanismo y Construcciones. Sostiene que la norma vigente quedó desfasada de la realidad demográfica y critica que la planificación comunal se haya convertido en una herramienta política para frenar la densificación. La propuesta de modificación a la Ordenanza General de Urbanismo y Construcciones (OGUC) que el Ministerio de Vivienda (Minvu) sometió a consulta pública entre el 8 y el 22 de abril ha encendido el debate en el sector. Mientras gremios profesionales y algunos urbanistas han expresado reparos,Sergio Correa, gerente Inmobiliario de la intermediadora Colliers, una de las consultoras inmobiliarias más activas del país, respaldó la iniciativa del Ejecutivo. “La modificación va en la dirección correcta. Llevamos años advirtiendo que el mercado inmobiliario chileno enfrenta una crisis estructural, y no solamente un ciclo malo. El número de viviendas autorizadas en 2025 fue el más bajo desde 2008, y al mismo tiempo tenemos un déficit habitacional total cercano a 1,4 millones de viviendas: casi 492 mil que se necesitan nuevas y otras 909 mil que requieren mejoramiento o ampliación. Es una paradoja brutal: no se construye lo que se necesita y, a la vez, no se vende lo que ya está construido. ¿Por qué?Porque el precio de la vivienda se desacopló completamente del ingreso de las familias”, dijo el ejecutivo, quien añadió que, desde 2010, los precios subieron más del 110% real, mientras los salarios crecieron en torno al 34%. “Esa brecha no se cierra con subsidios ni con buenas intenciones. Se cierra con medidas que efectivamente bajen el costo de producir vivienda. Y esta modificación, por primera vez en mucho tiempo, ataca varios frentes a la vez”, sostuvo.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Edificios multifamily en la Región Metropolitana: arriendo promedio sube 27% pese a mayor vacancia</w:t>
      </w:r>
    </w:p>
    <w:p>
      <w:pPr>
        <w:spacing w:before="40" w:after="60"/>
        <w:ind w:left="283"/>
      </w:pPr>
      <w:r>
        <w:rPr>
          <w:rFonts w:ascii="Arial" w:hAnsi="Arial"/>
          <w:color w:val="404040"/>
          <w:sz w:val="21"/>
        </w:rPr>
        <w:t>El arriendo promedio en edificios multifamily de la Región Metropolitana registró un alza de 27% en el primer trimestre de 2026 respecto al período anterior, alcanzando $547.347 mensuales, en un contexto de expansión de la oferta: 165 proyectos activos y 2.195 departamentos disponibles, con una vacancia de 3,5% —levemente superior al trimestre previo— pero una ocupación que se mantiene sobre el 95%. La segmentación geográfica de precios es marcada: Vitacura lidera con $1.616.479 promedio, seguida de Lo Barnechea ($1.388.730) y Las Condes ($1.151.967), mientras Estación Central es la más accesible con $315.754. La superficie promedio de las unidades es de 44,3 m2, con predominio del formato 1 dormitorio/1 baño en comunas densas, mientras que el formato 2D/2B gana terreno en La Florida y Providencia. La futura operación de la Línea 7 del Metro podría profundizar la expansión del mercado hacia comunas de mayores ingresos.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CIC busca volver a sus números prepandemia, define plan de inversiones por más de $ 2 mil millones y apunta a llegar a 50 tiendas en 2027</w:t>
      </w:r>
    </w:p>
    <w:p>
      <w:pPr>
        <w:spacing w:before="40" w:after="60"/>
        <w:ind w:left="283"/>
      </w:pPr>
      <w:r>
        <w:rPr>
          <w:rFonts w:ascii="Arial" w:hAnsi="Arial"/>
          <w:color w:val="404040"/>
          <w:sz w:val="21"/>
        </w:rPr>
        <w:t>CIC, la empresa de camas y colchones controlada por Leonidas Vial y José Yuraszeck, revirtió pérdidas de $934 millones en 2024 para obtener utilidades de $826 millones en 2025, tras una reestructuración organizacional que incluyó reducir el 15% de su dotación y ajustar sus costos operacionales. Para 2026, la firma tiene un plan de inversiones de $2.100 millones orientado a automatizar la planta de colchones de Maipú, remodelar tiendas y ampliar capacidad logística, más inversiones adicionales de $1.500 a $2.000 millones para expandir su red de 30 a 50 locales antes de mediados de 2027, con foco en el sur del país. La estrategia comercial incorporó las marcas Tempur (segmento premium, de Dinamarca) y Sealy (colchones tradicionales, EE.UU.) y explora exportaciones regulares a EE.UU. El conflicto en Medio Oriente ha encarecido los químicos para espuma viscoelástica, componente que representa el 20%-30% del costo de un colchón, generando presión adicional en márgenes.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Fabricados con restos de barcos: Grupo Patio crea nueva filial para vender pisos modulares</w:t>
      </w:r>
    </w:p>
    <w:p>
      <w:pPr>
        <w:spacing w:before="40" w:after="60"/>
        <w:ind w:left="283"/>
      </w:pPr>
      <w:r>
        <w:rPr>
          <w:rFonts w:ascii="Arial" w:hAnsi="Arial"/>
          <w:color w:val="404040"/>
          <w:sz w:val="21"/>
        </w:rPr>
        <w:t>Grupo Patio lanzó Onblock, un spin-off de Estructuras Marfil dedicado exclusivamente a la comercialización de pisos modulares, fabricados a partir de cabos de buques reciclados recolectados en las costas del extremo sur de Chile, donde se trituran y transforman en material para pisos industriales. La iniciativa surge de la alianza entre Grupo Patio (51%, con Gabriela y Paola Luksic entre sus accionistas) y el grupo MyA (49%), que adquirieron Estructuras Marfil en noviembre de 2025, empresa con operaciones en Perú, Colombia y México. Los pisos modulares tienen aplicaciones en minería, construcción, agroindustria, operadores logísticos y puertos, y se ofrecen tanto en formato de venta como arriendo. La creación de Onblock busca responder a la demanda de los propios clientes de Marfil que requerían pisos modulares como complemento a sus estructuras.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Firma portuguesa de scooters Whoosh apunta a dominar la Región Metropolitana</w:t>
      </w:r>
    </w:p>
    <w:p>
      <w:pPr>
        <w:spacing w:before="40" w:after="60"/>
        <w:ind w:left="283"/>
      </w:pPr>
      <w:r>
        <w:rPr>
          <w:rFonts w:ascii="Arial" w:hAnsi="Arial"/>
          <w:color w:val="404040"/>
          <w:sz w:val="21"/>
        </w:rPr>
        <w:t>Whoosh, la firma portuguesa de scooters eléctricos, opera en Chile con 8.900 unidades en las calles —casi el doble que en abril de 2025— y genera más de 20.000 viajes diarios con un ticket promedio de $1.700, concentrados principalmente en Las Condes, La Florida, San Miguel y San Joaquín, zonas con problemas de interconexión en el transporte público. Con una participación de mercado del 61% en el segmento y presencia en 11 comunas de la Región Metropolitana más ciudades como Temuco, Puerto Montt y Viña del Mar, Chile representa cerca del 40% de los ingresos regionales de la marca. Para 2026-2027, Whoosh apunta a expandirse a todas las comunas de la RM y avanza en conversaciones con municipios de Iquique, Antofagasta y Osorno. El objetivo financiero de la empresa es alcanzar el breakeven en 2028.</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Albemarle abre la puerta a extender su presencia en Chile más allá de 2043: “Queremos seguir siendo un socio estratégico para el país”</w:t>
      </w:r>
    </w:p>
    <w:p>
      <w:pPr>
        <w:spacing w:before="40" w:after="60"/>
        <w:ind w:left="283"/>
      </w:pPr>
      <w:r>
        <w:rPr>
          <w:rFonts w:ascii="Arial" w:hAnsi="Arial"/>
          <w:color w:val="404040"/>
          <w:sz w:val="21"/>
        </w:rPr>
        <w:t>El mayor productor de litio del mundo presentó un proyecto clave de US$ 3.100 millones. “Demuestra la confianza que tenemos en la estabilidad del país”, dijo a DF el líder regional de la compañía. A casi medio siglo del inicio de sus operaciones en el Salar de Atacama, la gigante estadounidense de litio Albemarle sorprendió el 25 de marzo al presentar un megaproyecto por US$ 3.100 millones. ¿El objetivo? Transitar desde las actuales pozas de evaporación hacia las tecnologías de extracción directa del mineral (DLE, por su sigla en inglés). La iniciativa no solo llamó la atención por ser la inversión más grande ingresada al Sistema de Evaluación de Impacto Ambiental (SEIA) en el mundo del litio chileno, sino que también porque la industria lo leyó como una jugada para adelantarse a la presentación de Salar Futuro de Novandino (Codelco-SQM), que se asumía sería el primer gran proyecto de la era de las DLE en los salares nortinos. Esa movida, además, llegó a solo dos semanas de iniciado el nuevo gobierno.</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Se modera el déficit en cuenta corriente de Chile, pero la deuda externa sigue al alza en el primer trimestre</w:t>
      </w:r>
    </w:p>
    <w:p>
      <w:pPr>
        <w:spacing w:before="40" w:after="60"/>
        <w:ind w:left="283"/>
      </w:pPr>
      <w:r>
        <w:rPr>
          <w:rFonts w:ascii="Arial" w:hAnsi="Arial"/>
          <w:color w:val="404040"/>
          <w:sz w:val="21"/>
        </w:rPr>
        <w:t>Chile registró un superávit en cuenta corriente de US$1.883 millones equivalente al 1,9% del PIB en el primer trimestre de 2026, según el Banco Central, reduciendo el déficit acumulado anual a solo 0,6% del PIB, desde 1,6% hace 12 meses. Las exportaciones de bienes alcanzaron US$30.307 millones, con un crecimiento de 14,7% impulsado por los envíos mineros y un alza de 20,2% en precios, mientras que las importaciones CIF crecieron 2,2% a US$22.121 millones. La deuda externa totalizó US$282.290 millones (75,9% del PIB), con un incremento de US$4.869 millones respecto al cierre de 2024, liderado por transacciones del gobierno y los bancos. El 78,3% de la deuda está denominada en dólares y las obligaciones de corto plazo residual suman US$70.737 millones.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Economía chilena cae más de lo previsto en el primer trimestre del año con un retroceso de 0,5%</w:t>
      </w:r>
    </w:p>
    <w:p>
      <w:pPr>
        <w:spacing w:before="40" w:after="60"/>
        <w:ind w:left="283"/>
      </w:pPr>
      <w:r>
        <w:rPr>
          <w:rFonts w:ascii="Arial" w:hAnsi="Arial"/>
          <w:color w:val="404040"/>
          <w:sz w:val="21"/>
        </w:rPr>
        <w:t>La economía chilena cayó 0,5% interanual en el primer trimestre de 2026, superando la contracción de -0,3% estimada previamente, con caídas relevantes en el sector agropecuario-silvícola (-5,4%, por menor producción frutícola), pesca (-18,6%) y minería (-3,1%, afectada por menores leyes del mineral, factores climáticos y mantenciones). La demanda interna creció 2,1% —con consumo de hogares al alza 2,5% en servicios de salud, transporte y restaurantes— mientras las exportaciones retrocedieron 4,9% por menores envíos frutícolas y de cobre. El ingreso nacional bruto disponible real creció 4,3%, superando el desempeño del PIB gracias al efecto positivo de los términos de intercambio, con el ahorro bruto alcanzando 22,5% del PIB. La inversión creció levemente 0,6%, con maquinaria y equipo al alza 10,1%, pero la construcción y obras cayó 0,9%.</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Claves del Congreso: Semana crucial para el proyecto de reactivación que llega a la Sala</w:t>
      </w:r>
    </w:p>
    <w:p>
      <w:pPr>
        <w:spacing w:before="40" w:after="60"/>
        <w:ind w:left="283"/>
      </w:pPr>
      <w:r>
        <w:rPr>
          <w:rFonts w:ascii="Arial" w:hAnsi="Arial"/>
          <w:color w:val="404040"/>
          <w:sz w:val="21"/>
        </w:rPr>
        <w:t>Esta semana es determinante para el proyecto de reactivación económica del gobierno, con las comisiones de Medio Ambiente y Trabajo de la Cámara de Diputados debiendo concluir su análisis este lunes para que la Sala vote y despache el proyecto al Senado entre el martes 19 y el miércoles 20. En paralelo, se espera el ingreso del proyecto de devolución del IVA a pañales y medicamentos específicos, acordado por el gobierno con el Partido de la Gente (PDG) como condición de apoyo. El martes 19, la Comisión de Hacienda del Senado recibirá el Informe de Estabilidad Financiera del Banco Central, y la Comisión de Medio Ambiente continuará el análisis de indicaciones al proyecto que fortalece la fiscalización de la Superintendencia del Medio Ambiente. El proyecto de reactivación incluye medidas como rebaja del impuesto corporativo, invariabilidad tributaria y modificaciones al Sence, entre otros.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Amplia brecha en apoyo al proyecto misceláneo constata índice Deloitte-Cadem entre la ciudadanía y el mundo empresarial</w:t>
      </w:r>
    </w:p>
    <w:p>
      <w:pPr>
        <w:spacing w:before="40" w:after="60"/>
        <w:ind w:left="283"/>
      </w:pPr>
      <w:r>
        <w:rPr>
          <w:rFonts w:ascii="Arial" w:hAnsi="Arial"/>
          <w:color w:val="404040"/>
          <w:sz w:val="21"/>
        </w:rPr>
        <w:t>El índice Deloitte-Cadem de abril reveló que solo el 42% de la ciudadanía apoya el proyecto de reactivación económica del gobierno, frente a un 85% de respaldo en el panel empresarial, diferencia que refleja dos urgencias distintas: la ciudadanía mira el empleo y los ingresos inmediatos, mientras el mundo privado valora el impulso al crecimiento y la inversión. La ciudadanía reconoce principalmente las medidas a favor del empleo (54%) y la reactivación del crecimiento (53%), mientras los ejecutivos destacan la reactivación económica (77%) y el incentivo a la inversión (66%). Ambos grupos coinciden en evaluar negativamente la situación laboral actual —81% de la ciudadanía y 79% de los ejecutivos la califica como mala o muy mala—, aunque el mundo empresarial es significativamente más optimista respecto al futuro: 98% espera mejora en la inversión en seis meses. Los principales riesgos identificados difieren: la ciudadanía teme el alza del costo de vida (68%), mientras el panel de negocios prioriza los riesgos geopolíticos (46%) y tecnológicos (39%).</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“Lo que no se mide, no existe”: el experimento de Generación Empresarial con Ipsos sobre la probidad</w:t>
      </w:r>
    </w:p>
    <w:p>
      <w:pPr>
        <w:spacing w:before="40" w:after="60"/>
        <w:ind w:left="283"/>
      </w:pPr>
      <w:r>
        <w:rPr>
          <w:rFonts w:ascii="Arial" w:hAnsi="Arial"/>
          <w:color w:val="404040"/>
          <w:sz w:val="21"/>
        </w:rPr>
        <w:t>La fundación le solicitó a la firma experta en investigación de mercado encuestar a integrantes de empresas que no miden con regularidad sus métricas en temas como ética. Janet Awad, presidenta de Fundación Generación Empresarial. Preocuparse en forma activa de la probidad y la ética como pilares centrales al interior de las organizaciones y medirla constantemente, tendría resultados positivos. Eso quedó de manifiesto tras el ejercicio que realizaron Fundación Generación Empresarial (FGE) e Ipsos, el cual consistió en comparar los resultados del último Barómetro de Valores e Integridad Organizacional (BVIO) de 2025 que elabora la primera -para saber cómo se entiende y comunica este tipo de temática y medir la prevención de conductas indeseadas y la presencia de conflictos éticos- con una encuesta que le encargó a la segunda, considerando su experiencia en investigación de mercado.</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Comercio define a sus nuevos consejeros en asamblea anual</w:t>
      </w:r>
    </w:p>
    <w:p>
      <w:pPr>
        <w:spacing w:before="40" w:after="60"/>
        <w:ind w:left="283"/>
      </w:pPr>
      <w:r>
        <w:rPr>
          <w:rFonts w:ascii="Arial" w:hAnsi="Arial"/>
          <w:color w:val="404040"/>
          <w:sz w:val="21"/>
        </w:rPr>
        <w:t>La asamblea anual de la Cámara Nacional de Comercio, Servicios y Turismo de Chile (CNC) renovó su consejo directivo para 2026-2028, eligiendo nueve consejeros de libre elección y tres representantes de la zona norte, además de ratificar la Comisión Revisora de Cuentas. El ministro de la Segpres, José García Ruminot, participó en la jornada destacando la generación de empleo como eje central de la agenda económica del gobierno. El presidente de la CNC, José Pakomio, presentó la cuenta anual 2025, con foco en seguridad, empleo, comercio ilícito y reformas regulatorias. La asamblea aprobó también que Coyhaique sea la sede del encuentro de socios de 2027.</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Mesa de reactivación laboral ha recibido 20 propuestas en su primera semana de funcionamiento</w:t>
      </w:r>
    </w:p>
    <w:p>
      <w:pPr>
        <w:spacing w:before="40" w:after="60"/>
        <w:ind w:left="283"/>
      </w:pPr>
      <w:r>
        <w:rPr>
          <w:rFonts w:ascii="Arial" w:hAnsi="Arial"/>
          <w:color w:val="404040"/>
          <w:sz w:val="21"/>
        </w:rPr>
        <w:t>La Mesa de Reactivación Laboral, convocada por el Ministerio del Trabajo y presidida por el economista David Bravo, recibió más de 20 propuestas en su primera semana, con el proceso abierto hasta el 21 de mayo a través del sitio web del Ministerio. Las propuestas se concentran en cuatro ejes principales: modernización de la capacitación laboral y el Sence, fomento del empleo femenino mediante conciliación laboral y sala cuna, reducción de la informalidad y atención a grupos específicos como jóvenes, independientes y trabajadores rurales. Tras el cierre del proceso, la mesa convocará audiencias entre el 25 y 29 de mayo, con miras a entregar un informe final de propuestas al ministro Tomás Rau el 12 de junio. La instancia responde a la urgencia de enfrentar una desocupación de cerca de 9% y más de 2,5 millones de personas en situación de informalidad laboral.</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Diego Schalper: “Queremos que se apruebe el proyecto, pero una cosa es la comisión y otra, muy distinta, la Sala, donde somos minoría”</w:t>
      </w:r>
    </w:p>
    <w:p>
      <w:pPr>
        <w:spacing w:before="40" w:after="60"/>
        <w:ind w:left="283"/>
      </w:pPr>
      <w:r>
        <w:rPr>
          <w:rFonts w:ascii="Arial" w:hAnsi="Arial"/>
          <w:color w:val="404040"/>
          <w:sz w:val="21"/>
        </w:rPr>
        <w:t>El jefe de los diputados de la colectividad explica las razones para rechazar, en la Comisión de Hacienda, los artículos sobre propiedad intelectual y el que elimina la franquicia Sence. Diego Schalper fue uno de los dos diputados de Renovación Nacional (RN) que como integrante de la Comisión de Hacienda de la Cámara tomaron la decisión de no respaldar a la administración Kast en dos artículos del proyecto de reactivación económica debatido la semana pasada: uno, referido a la llamada franquicia Sence; y, el segundo, referido a propiedad intelectual. “Hemos hecho ver al gobierno que, para que esto se apruebe sin dificultad en la Sala y tenga una mejor valoración social, es necesario abordar estos dos puntos de manera diferente”, dice al profundizar en su posición, que fue compartida por el subjefe de la bancada y miembro de la instancia legislativa, Eduardo Durán.</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Shakira gana batalla tributaria de 55 millones de euros contra España</w:t>
      </w:r>
    </w:p>
    <w:p>
      <w:pPr>
        <w:spacing w:before="40" w:after="60"/>
        <w:ind w:left="283"/>
      </w:pPr>
      <w:r>
        <w:rPr>
          <w:rFonts w:ascii="Arial" w:hAnsi="Arial"/>
          <w:color w:val="404040"/>
          <w:sz w:val="21"/>
        </w:rPr>
        <w:t>La Audiencia Nacional de España anuló este lunes las sanciones de 55 millones de euros impuestas a Shakira por la agencia tributaria española en relación con su supuesta residencia fiscal en el país en 2011, ordenando además el pago de intereses a la cantante colombiana. El tribunal determinó que las autoridades no lograron demostrar que Shakira hubiese permanecido más de 183 días en España ese año —umbral legal para la residencia fiscal—, dado que realizó una gira mundial con 120 conciertos en 37 países durante ese período. La agencia tributaria española anunció que apelará el fallo ante el Tribunal Supremo; la sentencia no afecta el acuerdo de noviembre de 2023 por el que Shakira pagó una multa de 7,3 millones de euros para resolver los cargos relacionados con los años 2012-2014. Shakira calificó el fallo como una 'victoria definitiva' tras más de ocho años de disputa.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Acción de Delta Airlines sube 2% tras la adquisición de una participación de US$ 2.600 millones por parte de Berkshire</w:t>
      </w:r>
    </w:p>
    <w:p>
      <w:pPr>
        <w:spacing w:before="40" w:after="60"/>
        <w:ind w:left="283"/>
      </w:pPr>
      <w:r>
        <w:rPr>
          <w:rFonts w:ascii="Arial" w:hAnsi="Arial"/>
          <w:color w:val="404040"/>
          <w:sz w:val="21"/>
        </w:rPr>
        <w:t>Berkshire Hathaway, bajo el nuevo CEO Greg Abel, adquirió una participación de 6,1% en Delta Air Lines por US$2.600 millones —39,8 millones de acciones— durante el primer trimestre, reviviendo el vínculo del conglomerado con la industria aérea en un contexto desafiante marcado por el cierre del estrecho de Ormuz y mayores costos de combustible. En el mismo período, Berkshire amplió su posición en Alphabet —agregando 36,4 millones de acciones— y se deshizo completamente de su participación en Amazon, además de vender posiciones en Visa, Mastercard, UnitedHealth, Diageo, Pool y Domino's Pizza. La firma también reveló una nueva participación en la cadena minorista Macy's, luego de que esta reportara ventas superiores a lo esperado. Las aerolíneas enfrentan presión adicional tras el cese de operaciones de Spirit Airlines, que no logró asegurar financiamiento de emergencia.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Continuidad y dos opositores de derecha: los candidatos competitivos en la presidencial colombiana</w:t>
      </w:r>
    </w:p>
    <w:p>
      <w:pPr>
        <w:spacing w:before="40" w:after="60"/>
        <w:ind w:left="283"/>
      </w:pPr>
      <w:r>
        <w:rPr>
          <w:rFonts w:ascii="Arial" w:hAnsi="Arial"/>
          <w:color w:val="404040"/>
          <w:sz w:val="21"/>
        </w:rPr>
        <w:t>Colombia celebrará el 31 de mayo la primera vuelta presidencial, con tres candidatos competitivos para el balotaje del 21 de junio: el oficialista Iván Cepeda del Pacto Histórico (38,6% en encuestas), quien propone continuar el programa de Gustavo Petro con mayor intervención estatal, reforma tributaria redistributiva y el modelo de 'paz total'; el independiente libertario Abelardo de la Espriella (23,2%), comparado con Milei por su propuesta de eliminar ministerios, bajar impuestos corporativos y desregular la minería y agroindustria; y la senadora uribista Paloma Valencia (18,4%), quien propone seguridad con cooperación de EE.UU., estabilidad tributaria para la inversión y el fortalecimiento de industrias extractivas. El candidato oficial tiene su paso al balotaje prácticamente asegurado, mientras cinco puntos porcentuales separan a los dos candidatos de derecha que disputan el segundo cupo. La elección define la continuidad o ruptura con el gobierno de Petro.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Alexander Seitz, CEO de Volkswagen Sudamérica: “(En Argentina) vemos un mercado un poco débil, por eso vamos a fortalecer la producción local e importar menos desde Brasil”</w:t>
      </w:r>
    </w:p>
    <w:p>
      <w:pPr>
        <w:spacing w:before="40" w:after="60"/>
        <w:ind w:left="283"/>
      </w:pPr>
      <w:r>
        <w:rPr>
          <w:rFonts w:ascii="Arial" w:hAnsi="Arial"/>
          <w:color w:val="404040"/>
          <w:sz w:val="21"/>
        </w:rPr>
        <w:t>El ejecutivo abordó el escenario que enfrenta la industria automotriz argentina en medio de la caída de la producción local, además de los planes de la firma en Chile y del programa de inversiones por US$ 3,7 mil millones que Volkswagen impulsa en Sudamérica hasta 2028. Laindustria automotriz latinoamericanaatraviesa una etapa marcada por el avance de la electromovilidad y la creciente competencia de marcas chinas,escenario que ha llevado a fabricantes tradicionales a reforzar su apuesta por la región. Una de ellas es laalemana Volkswagen,queimpulsa un plan de inversiones por US$ 3,7 mil millones en Sudamérica hasta 2028 para acelerar su expansión regional.Uno de sus focos está en Argentina, donde avanza en la implementación de la nueva generación de Amarok y busca consolidar su planta de Pacheco, ubicada en Buenos Aires.</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Startup del Biobío da el salto a Europa y adquiere 50% de empresa belga de materiales sustentables</w:t>
      </w:r>
    </w:p>
    <w:p>
      <w:pPr>
        <w:spacing w:before="40" w:after="60"/>
        <w:ind w:left="283"/>
      </w:pPr>
      <w:r>
        <w:rPr>
          <w:rFonts w:ascii="Arial" w:hAnsi="Arial"/>
          <w:color w:val="404040"/>
          <w:sz w:val="21"/>
        </w:rPr>
        <w:t>Isolcork, startup chilena de revestimientos sustentables a base de corcho fundada en el Biobío por los hermanos Mario y Pablo Palma con capital semilla de Corfo en 2014, adquirió el 50% de Ecoprox, empresa belga de materiales sustentables, con la que instalará una planta productiva en Bélgica para abastecer los mercados del norte de Europa —Bélgica, Países Bajos, Alemania, Austria, Suiza y el Reino Unido. La expansión replica el modelo exitoso utilizado en México: el socio local aporta el financiamiento para la planta e Isolcork aporta la maquinaria como capital, con el corcho importado directamente desde Portugal, eliminando la triangulación vía Chile. La startup, con presencia en Perú, Colombia, Brasil, México y EE.UU. (con oficina en Houston y producción en Hermosillo), factura a partir de tres líneas: revestimientos de fachada en corcho, impermeabilizantes de caucho reciclado y una nueva pintura de polvo de corcho. La empresa busca convertirse en líder de producción de este material en el norte de Europa, con negociaciones avanzadas en el Reino Unido y Países Bajos.</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18 de mayo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