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960"/>
        <w:jc w:val="left"/>
      </w:pPr>
    </w:p>
    <w:p>
      <w:pPr>
        <w:spacing w:after="120"/>
        <w:jc w:val="center"/>
      </w:pPr>
      <w:r>
        <w:rPr>
          <w:rFonts w:ascii="Arial" w:hAnsi="Arial"/>
          <w:b/>
          <w:color w:val="1F4E79"/>
          <w:sz w:val="60"/>
        </w:rPr>
        <w:t>DIARIO FINANCIERO</w:t>
      </w:r>
    </w:p>
    <w:p>
      <w:pPr>
        <w:spacing w:after="80"/>
        <w:jc w:val="center"/>
      </w:pPr>
      <w:r>
        <w:rPr>
          <w:rFonts w:ascii="Arial" w:hAnsi="Arial"/>
          <w:b w:val="0"/>
          <w:color w:val="404040"/>
          <w:sz w:val="32"/>
        </w:rPr>
        <w:t>Resumen Ejecutivo del Día</w:t>
      </w:r>
    </w:p>
    <w:p>
      <w:pPr>
        <w:spacing w:after="200"/>
        <w:jc w:val="center"/>
      </w:pPr>
      <w:r>
        <w:rPr>
          <w:rFonts w:ascii="Arial" w:hAnsi="Arial"/>
          <w:color w:val="2E75B6"/>
          <w:sz w:val="26"/>
        </w:rPr>
        <w:t>12 De Mayo De 2026</w:t>
      </w:r>
    </w:p>
    <w:p>
      <w:pPr>
        <w:jc w:val="center"/>
      </w:pPr>
      <w:r>
        <w:rPr>
          <w:rFonts w:ascii="Arial" w:hAnsi="Arial"/>
          <w:color w:val="999999"/>
          <w:sz w:val="20"/>
        </w:rPr>
        <w:t>6 secciones  ·  25 artículos</w:t>
      </w:r>
    </w:p>
    <w:p>
      <w:pPr>
        <w:spacing w:before="0" w:after="0"/>
      </w:pPr>
      <w:r>
        <w:br w:type="page"/>
      </w:r>
    </w:p>
    <w:p>
      <w:pPr>
        <w:spacing w:before="0" w:after="240"/>
      </w:pPr>
      <w:r>
        <w:rPr>
          <w:rFonts w:ascii="Arial" w:hAnsi="Arial"/>
          <w:b/>
          <w:color w:val="1F4E79"/>
          <w:sz w:val="28"/>
        </w:rPr>
        <w:t>ÍNDICE</w:t>
      </w:r>
    </w:p>
    <w:p>
      <w:pPr>
        <w:spacing w:before="0" w:after="0"/>
      </w:pPr>
      <w:r>
        <w:fldChar w:fldCharType="begin"/>
        <w:instrText xml:space="preserve"> TOC \o "1-2" \h \z \u </w:instrText>
        <w:fldChar w:fldCharType="separate"/>
      </w:r>
      <w:r>
        <w:rPr>
          <w:rFonts w:ascii="Arial" w:hAnsi="Arial"/>
          <w:i/>
          <w:color w:val="999999"/>
          <w:sz w:val="20"/>
        </w:rPr>
        <w:t>[ Presiona Ctrl+A y luego F9 para actualizar el índice ]</w:t>
      </w:r>
      <w:r>
        <w:fldChar w:fldCharType="end"/>
      </w:r>
    </w:p>
    <w:p>
      <w:pPr>
        <w:spacing w:before="0" w:after="0"/>
      </w:pPr>
      <w:r>
        <w:br w:type="page"/>
      </w:r>
    </w:p>
    <w:p>
      <w:pPr>
        <w:pStyle w:val="Heading1"/>
        <w:shd w:val="clear" w:color="auto" w:fill="1F4E79"/>
        <w:spacing w:before="320" w:after="160"/>
        <w:ind w:left="227"/>
      </w:pPr>
      <w:r>
        <w:rPr>
          <w:rFonts w:ascii="Arial" w:hAnsi="Arial"/>
          <w:b/>
          <w:color w:val="FFFFFF"/>
          <w:sz w:val="26"/>
        </w:rPr>
        <w:t>MERCADOS</w:t>
      </w:r>
    </w:p>
    <w:p>
      <w:pPr>
        <w:pStyle w:val="Heading2"/>
        <w:spacing w:before="200" w:after="80"/>
      </w:pPr>
      <w:r>
        <w:rPr>
          <w:rFonts w:ascii="Arial" w:hAnsi="Arial"/>
          <w:b/>
          <w:color w:val="2E75B6"/>
          <w:sz w:val="22"/>
        </w:rPr>
        <w:t xml:space="preserve">1.  </w:t>
      </w:r>
      <w:r>
        <w:rPr>
          <w:rFonts w:ascii="Arial" w:hAnsi="Arial"/>
          <w:b/>
          <w:color w:val="1F4E79"/>
          <w:sz w:val="22"/>
        </w:rPr>
        <w:t>AGF de Bci regresa al negocio de pequeñas y medianas acciones con nuevo fondo de inversión</w:t>
      </w:r>
    </w:p>
    <w:p>
      <w:pPr>
        <w:spacing w:before="40" w:after="60"/>
        <w:ind w:left="283"/>
      </w:pPr>
      <w:r>
        <w:rPr>
          <w:rFonts w:ascii="Arial" w:hAnsi="Arial"/>
          <w:color w:val="404040"/>
          <w:sz w:val="21"/>
        </w:rPr>
        <w:t>Bci Asset Management inscribió en la CMF el fondo “Bci Mid &amp; Small Chile”, orientado a acciones de baja y mediana capitalización bursátil excluidas del índice S&amp;P/CLX IGPA LargeCap. La gestora identifica una ventana de entrada al segmento ante la retirada de las AFP, que han internalizado la gestión del universo small cap, reduciendo la oferta de administradoras especializadas. El fondo apunta principalmente a clientes de banca privada, family offices e inversores calificados, aunque no descarta acercarse a las AFP en el futuro. La cartera será gestionada por un equipo de siete profesionales enfocados en empresas cuyo precio no refleje adecuadamente su valor fundamental.</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IPSA abre con fuerte caída y pierde los 10.600 puntos tras alta inflación de EEUU en medio de la incertidumbre por Medio Oriente</w:t>
      </w:r>
    </w:p>
    <w:p>
      <w:pPr>
        <w:spacing w:before="40" w:after="60"/>
        <w:ind w:left="283"/>
      </w:pPr>
      <w:r>
        <w:rPr>
          <w:rFonts w:ascii="Arial" w:hAnsi="Arial"/>
          <w:color w:val="404040"/>
          <w:sz w:val="21"/>
        </w:rPr>
        <w:t>El S&amp;P IPSA chileno abrió con una caída de 1% hasta los 10.593,96 puntos, presionado por datos de inflación de Estados Unidos de abril que superaron levemente las estimaciones, con el IPC anual en 3,8%, una décima por encima del consenso. A esto se sumó el estancamiento de las negociaciones de paz con Irán, tras el rechazo de Trump a la contrapropuesta iraní, lo que elevó el petróleo Brent un 3,6% a US$ 107,9 por barril. Las acciones más afectadas en el IPSA fueron Falabella (-2,1%), Cencosud (-1,9%) y Latam (-1,8%), compañías sensibles al conflicto regional. En Wall Street el Nasdaq cayó 0,8% y el S&amp;P 500 retrocedió 0,4%, mientras el dólar global se fortaleció.</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Dólar abre al alza por compras globales tras datos inflacionarios de EEUU y estancamiento de negociaciones con Irán</w:t>
      </w:r>
    </w:p>
    <w:p>
      <w:pPr>
        <w:spacing w:before="40" w:after="60"/>
        <w:ind w:left="283"/>
      </w:pPr>
      <w:r>
        <w:rPr>
          <w:rFonts w:ascii="Arial" w:hAnsi="Arial"/>
          <w:color w:val="404040"/>
          <w:sz w:val="21"/>
        </w:rPr>
        <w:t>El dólar subió $4,7 hasta los $902,8 en la apertura del martes en Chile, impulsado por el fortalecimiento del dollar index en 0,4% y el alza de las tasas de interés globales. La divisa se vio presionada por la inflación de abril en EEUU, que anotó un alza anual de 3,8% -una décima sobre el consenso-, y por el impasse diplomático entre Washington y Teherán. El cobre Comex ganó un 0,2% para cotizar a US$ 6,47 por libra, amortiguando parcialmente la presión alcista sobre el tipo de cambio local. Los operadores comienzan a considerar como altamente probable una subida de tasas por parte de la Fed en 2027, según las cotizaciones de los mercados monetarios.</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León Vial Claro "gira" el volante hacia los autos usados en Global Soluciones Financieras</w:t>
      </w:r>
    </w:p>
    <w:p>
      <w:pPr>
        <w:spacing w:before="40" w:after="60"/>
        <w:ind w:left="283"/>
      </w:pPr>
      <w:r>
        <w:rPr>
          <w:rFonts w:ascii="Arial" w:hAnsi="Arial"/>
          <w:color w:val="404040"/>
          <w:sz w:val="21"/>
        </w:rPr>
        <w:t>El presidente de la financiera automotriz dio cuenta del cambio de estrategia de la compañía. Global Soluciones, la financiera automotriz que hasta haces unos años hacía noticia por las millonarias pérdidas que acumulaba, parece haber enrielado su rumbo de la mano de sus nuevos controladores,Jorge Selume y Leonidas Vial,quienes desembarcaron en 2023. Aunque el balance 2025 de la compañía sigue en rojo, con pérdidas que alcanzaron los $1.165 millones, la cifra es un 80% menos que lo perdido en 2024.</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El precio del cobre en Londres se mantiene estable cerca de su máximo histórico con la mirada de los inversionistas en Medio Oriente</w:t>
      </w:r>
    </w:p>
    <w:p>
      <w:pPr>
        <w:spacing w:before="40" w:after="60"/>
        <w:ind w:left="283"/>
      </w:pPr>
      <w:r>
        <w:rPr>
          <w:rFonts w:ascii="Arial" w:hAnsi="Arial"/>
          <w:color w:val="404040"/>
          <w:sz w:val="21"/>
        </w:rPr>
        <w:t>El metal subía un 0,1% a US$ 6,33 por libra a las 10:57 a. m. hora local en una sesión mixta en la Bolsa de Metales de Londres el martes, tras alcanzar su precio de cierre más alto el lunes. El metal, principal exportación de Chile, cotiza a su nivel intradiario más alto desde los récords de finales de enero de este año. El cobre se mantenía estable cerca de un máximo histórico en las negociaciones de la mañana del martes en Londres,incluso cuando la advertencia del presidente estadounidense Donald Trump de queel alto el fuego con Irán estaba en "estado crítico"provocó nuevas turbulencias en los mercados financieros.</w:t>
      </w:r>
    </w:p>
    <w:p>
      <w:pPr>
        <w:pBdr>
          <w:bottom w:val="single" w:sz="4" w:space="1" w:color="BDD7EE"/>
        </w:pBdr>
        <w:spacing w:before="80" w:after="80"/>
      </w:pPr>
    </w:p>
    <w:p>
      <w:pPr>
        <w:pStyle w:val="Heading2"/>
        <w:spacing w:before="200" w:after="80"/>
      </w:pPr>
      <w:r>
        <w:rPr>
          <w:rFonts w:ascii="Arial" w:hAnsi="Arial"/>
          <w:b/>
          <w:color w:val="2E75B6"/>
          <w:sz w:val="22"/>
        </w:rPr>
        <w:t xml:space="preserve">6.  </w:t>
      </w:r>
      <w:r>
        <w:rPr>
          <w:rFonts w:ascii="Arial" w:hAnsi="Arial"/>
          <w:b/>
          <w:color w:val="1F4E79"/>
          <w:sz w:val="22"/>
        </w:rPr>
        <w:t>Sergio Soto, director ejecutivo del FAPP y la licitación de carteras de inversión: “El precio es un criterio, pero no el único”</w:t>
      </w:r>
    </w:p>
    <w:p>
      <w:pPr>
        <w:spacing w:before="40" w:after="60"/>
        <w:ind w:left="283"/>
      </w:pPr>
      <w:r>
        <w:rPr>
          <w:rFonts w:ascii="Arial" w:hAnsi="Arial"/>
          <w:color w:val="404040"/>
          <w:sz w:val="21"/>
        </w:rPr>
        <w:t>El Fondo Autónomo de Protección Previsional (FAPP), creado por la reforma previsional, inició el 8 de mayo la licitación de dos carteras de inversión —una de renta fija de corto plazo y otra de largo plazo— con el objetivo de traspasar en julio la administración de los activos del fondo, que a marzo totalizaban $377.605 millones (US$ 405 millones). Los requisitos mínimos para participar incluyen tener más de US$ 1.000 millones en activos bajo gestión y al menos cinco años de experiencia, con regulación de la CMF o equivalente. El director ejecutivo Sergio Soto destacó que la selección prioriza las competencias técnicas de los equipos y la continuidad operacional por sobre el precio, dado que la relación busca ser de largo plazo. En el futuro se abrirán nuevos mandatos, incluyendo renta variable internacional, conforme el patrimonio del FAPP crezca hacia los US$ 5.000 millones en cinco años y US$ 12.000 millones en diez.</w:t>
      </w:r>
    </w:p>
    <w:p>
      <w:pPr>
        <w:pBdr>
          <w:bottom w:val="single" w:sz="4" w:space="1" w:color="BDD7EE"/>
        </w:pBdr>
        <w:spacing w:before="80" w:after="80"/>
      </w:pPr>
    </w:p>
    <w:p>
      <w:pPr>
        <w:pStyle w:val="Heading2"/>
        <w:spacing w:before="200" w:after="80"/>
      </w:pPr>
      <w:r>
        <w:rPr>
          <w:rFonts w:ascii="Arial" w:hAnsi="Arial"/>
          <w:b/>
          <w:color w:val="2E75B6"/>
          <w:sz w:val="22"/>
        </w:rPr>
        <w:t xml:space="preserve">7.  </w:t>
      </w:r>
      <w:r>
        <w:rPr>
          <w:rFonts w:ascii="Arial" w:hAnsi="Arial"/>
          <w:b/>
          <w:color w:val="1F4E79"/>
          <w:sz w:val="22"/>
        </w:rPr>
        <w:t>Ministra del Medio Ambiente anticipa en Chile Day un año histórico para la resolución ambiental de proyectos</w:t>
      </w:r>
    </w:p>
    <w:p>
      <w:pPr>
        <w:spacing w:before="40" w:after="60"/>
        <w:ind w:left="283"/>
      </w:pPr>
      <w:r>
        <w:rPr>
          <w:rFonts w:ascii="Arial" w:hAnsi="Arial"/>
          <w:color w:val="404040"/>
          <w:sz w:val="21"/>
        </w:rPr>
        <w:t>La ministra de Medio Ambiente, Francisca Toledo, expuso en Chile Day 2026 en Toronto que el gobierno ya ha resuelto 14 proyectos hasta mayo de 2026, equivalente al total resuelto en todo el año anterior, y proyecta un año histórico en la frecuencia de operación del comité de ministros. El foco estratégico de la cartera se organiza en tres pilares: implementación del Servicio de Biodiversidad, agilización institucional y gestión de residuos, con meta de reducir al menos 30% los tiempos de evaluación ambiental. La ministra señaló que el Presidente Kast le encomendó resolver 51 proyectos atrasados —que suman más de US$ 16.000 millones— en tres meses, y que los plazos para resoluciones de calificación ambiental se han reducido de seis meses a 15 días hábiles. Por su parte, el ministro de Hacienda, Jorge Quiroz, replicó en Toronto su presentación de Nueva York, llamando a los inversores a regresar al país y comparando la tasa de impuesto corporativo chilena con la canadiense del 13%.</w:t>
      </w:r>
    </w:p>
    <w:p>
      <w:pPr>
        <w:spacing w:before="0" w:after="80"/>
        <w:jc w:val="left"/>
      </w:pPr>
    </w:p>
    <w:p>
      <w:pPr>
        <w:pStyle w:val="Heading1"/>
        <w:shd w:val="clear" w:color="auto" w:fill="1F4E79"/>
        <w:spacing w:before="320" w:after="160"/>
        <w:ind w:left="227"/>
      </w:pPr>
      <w:r>
        <w:rPr>
          <w:rFonts w:ascii="Arial" w:hAnsi="Arial"/>
          <w:b/>
          <w:color w:val="FFFFFF"/>
          <w:sz w:val="26"/>
        </w:rPr>
        <w:t>EMPRESAS</w:t>
      </w:r>
    </w:p>
    <w:p>
      <w:pPr>
        <w:pStyle w:val="Heading2"/>
        <w:spacing w:before="200" w:after="80"/>
      </w:pPr>
      <w:r>
        <w:rPr>
          <w:rFonts w:ascii="Arial" w:hAnsi="Arial"/>
          <w:b/>
          <w:color w:val="2E75B6"/>
          <w:sz w:val="22"/>
        </w:rPr>
        <w:t xml:space="preserve">1.  </w:t>
      </w:r>
      <w:r>
        <w:rPr>
          <w:rFonts w:ascii="Arial" w:hAnsi="Arial"/>
          <w:b/>
          <w:color w:val="1F4E79"/>
          <w:sz w:val="22"/>
        </w:rPr>
        <w:t>Dueño mayoritario de Movistar Arena y Metro proyectan levantar un nuevo centro de eventos sobre la estación Ñuñoa</w:t>
      </w:r>
    </w:p>
    <w:p>
      <w:pPr>
        <w:spacing w:before="40" w:after="60"/>
        <w:ind w:left="283"/>
      </w:pPr>
      <w:r>
        <w:rPr>
          <w:rFonts w:ascii="Arial" w:hAnsi="Arial"/>
          <w:color w:val="404040"/>
          <w:sz w:val="21"/>
        </w:rPr>
        <w:t>Live Nation Entertainment, accionista mayoritaria de Movistar Arena, y Metro de Santiago impulsaran la construcción de Music Hall Ñuñoa, un recinto tipo teatro sobre la estación Ñuñoa del Metro, en la intersección de Avenida Irarrázaval con Pedro de Valdivia. El proyecto contempla una inversión de US$ 35 millones, cuatro niveles sobre superficie y tres subterráneos, con una afluencia máxima de 4.700 personas para conciertos, obras de teatro, exposiciones y encuentros culturales. La estructura se apoyará sobre pilares existentes del Metro, y el plazo de construcción se estima en 12 meses. Se trata del segundo movimiento importante de Live Nation en Chile en menos de seis meses, tras haberse convertido en accionista mayoritaria de Movistar Arena a fines de 2025.</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Patrick Lahaie, socio senior de Mckinsey: “Chile sigue siendo una de las jurisdicciones mineras más consolidadas del mundo, pero está perdiendo impulso relativo”</w:t>
      </w:r>
    </w:p>
    <w:p>
      <w:pPr>
        <w:spacing w:before="40" w:after="60"/>
        <w:ind w:left="283"/>
      </w:pPr>
      <w:r>
        <w:rPr>
          <w:rFonts w:ascii="Arial" w:hAnsi="Arial"/>
          <w:color w:val="404040"/>
          <w:sz w:val="21"/>
        </w:rPr>
        <w:t>Patrick Lahaie, líder global de Metales y Minería de McKinsey, advirtió que Chile enfrenta tres factores estructurales de deterioro competitivo: el empeoramiento de la ley del mineral, los retrasos en la cartera de proyectos y el mayor crecimiento de otras regiones mineras como África. Estimó que el conflicto en Medio Oriente podría generar un déficit adicional de hasta un millón de toneladas de cobre en escenarios de disrupcón severa, principalmente por restricciones de ácido sulfúrico y logística. Señaló que la competitividad de costos es hoy el principal freno a las decisiones de inversión, junto con la incertidumbre regulatoria y los extensos plazos de permisología, que pueden superar los 15 años desde el descubrimiento hasta la producción. La prioridad para Chile, en su opinión, es acelerar la inversión mediante una gestión más eficaz de los permisos y los grupos de interés, sin reducir estándares ambientales.</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Su primera visita al exterior: Rincón viajará a Argentina junto a amplia delegación local para fortalecer integración energética</w:t>
      </w:r>
    </w:p>
    <w:p>
      <w:pPr>
        <w:spacing w:before="40" w:after="60"/>
        <w:ind w:left="283"/>
      </w:pPr>
      <w:r>
        <w:rPr>
          <w:rFonts w:ascii="Arial" w:hAnsi="Arial"/>
          <w:color w:val="404040"/>
          <w:sz w:val="21"/>
        </w:rPr>
        <w:t>La ministra de Energía, Ximena Rincón, encabezará el 14 y 15 de mayo una visita de trabajo a Buenos Aires junto a una amplia delegación que incluye autoridades regulatorias, el presidente de ENAP, gremios eléctricos y compañías como Enel, Engie, AES y GasAndes. La agenda contempla diálogos bilaterales sobre electricidad y gas natural con la Secretaría de Energía argentina, así como un encuentro público-privado sobre oportunidades de integración energética entre ambas naciones. Los sectores de interés incluyen la interconexón eléctrica, el suministro de gas natural y la experiencia argentina en su reciente reforma institucional energética. Del lado argentino participarán empresas como YPF y TotalEnergies.</w:t>
      </w:r>
    </w:p>
    <w:p>
      <w:pPr>
        <w:spacing w:before="0" w:after="80"/>
        <w:jc w:val="left"/>
      </w:pPr>
    </w:p>
    <w:p>
      <w:pPr>
        <w:pStyle w:val="Heading1"/>
        <w:shd w:val="clear" w:color="auto" w:fill="1F4E79"/>
        <w:spacing w:before="320" w:after="160"/>
        <w:ind w:left="227"/>
      </w:pPr>
      <w:r>
        <w:rPr>
          <w:rFonts w:ascii="Arial" w:hAnsi="Arial"/>
          <w:b/>
          <w:color w:val="FFFFFF"/>
          <w:sz w:val="26"/>
        </w:rPr>
        <w:t>ECONOMÍA</w:t>
      </w:r>
    </w:p>
    <w:p>
      <w:pPr>
        <w:pStyle w:val="Heading2"/>
        <w:spacing w:before="200" w:after="80"/>
      </w:pPr>
      <w:r>
        <w:rPr>
          <w:rFonts w:ascii="Arial" w:hAnsi="Arial"/>
          <w:b/>
          <w:color w:val="2E75B6"/>
          <w:sz w:val="22"/>
        </w:rPr>
        <w:t xml:space="preserve">1.  </w:t>
      </w:r>
      <w:r>
        <w:rPr>
          <w:rFonts w:ascii="Arial" w:hAnsi="Arial"/>
          <w:b/>
          <w:color w:val="1F4E79"/>
          <w:sz w:val="22"/>
        </w:rPr>
        <w:t>Reflotan el impuesto a los “súper ricos” a través de indicación al proyecto de reactivación económica del gobierno</w:t>
      </w:r>
    </w:p>
    <w:p>
      <w:pPr>
        <w:spacing w:before="40" w:after="60"/>
        <w:ind w:left="283"/>
      </w:pPr>
      <w:r>
        <w:rPr>
          <w:rFonts w:ascii="Arial" w:hAnsi="Arial"/>
          <w:color w:val="404040"/>
          <w:sz w:val="21"/>
        </w:rPr>
        <w:t>El diputado comunista Luis Cuello presentó una indicación al proyecto de reactivación del gobierno para establecer un impuesto al patrimonio del 2% para personas naturales con patrimonio neto superior a US$ 100 millones, incluyendo a quienes trasladen su residencia fuera de Chile por hasta cinco años. La base imponible considera el valor de mercado de todos los activos menos las deudas exigibles, y contra el impuesto se podrá imputar el total de impuestos personales efectivamente pagados en Chile. Los recursos recaudados se destinarían al Plan Nacional de Infraestructura Educacional, gratuidad en transporte público para estudiantes de enseñanza media y ampliación de programas de la JUNAEB. Esta es una propuesta que el Partido Comunista ha intentado introducir sin éxito en distintos debates tributarios anteriores.</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Mercado reduce previsión de crecimiento a 2% para este año y mantiene pronóstico que inflación llegue a 4,3%</w:t>
      </w:r>
    </w:p>
    <w:p>
      <w:pPr>
        <w:spacing w:before="40" w:after="60"/>
        <w:ind w:left="283"/>
      </w:pPr>
      <w:r>
        <w:rPr>
          <w:rFonts w:ascii="Arial" w:hAnsi="Arial"/>
          <w:color w:val="404040"/>
          <w:sz w:val="21"/>
        </w:rPr>
        <w:t>La Encuesta de Expectativas Económicas (EEE) del Banco Central de abril mostró que los analistas redujeron la proyección de crecimiento del PIB para 2026 desde 2,1% a 2,0%, mientras que la estimación de inflación a diciembre se mantuvo en 4,3%, por encima del objetivo del Banco Central. Para mayo se espera un IPC de 0,4% mensual y en junio se proyecta una variación nula. El mercado anticipa que la Tasa de Política Monetaria se mantendrá en 4,5% durante todo el año, con la primera baja estimada recién en 17 meses. El Imacec de abril se estima en un alza de apenas 0,1%, mientras el tipo de cambio se proyecta en $890 para dos meses y en $870 a 11 meses plazo.</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Uso de IA, invariabilidad, RCA y crédito al empleo destacan en primeras indicaciones de Hacienda al proyecto de ley miscelánea del gobierno</w:t>
      </w:r>
    </w:p>
    <w:p>
      <w:pPr>
        <w:spacing w:before="40" w:after="60"/>
        <w:ind w:left="283"/>
      </w:pPr>
      <w:r>
        <w:rPr>
          <w:rFonts w:ascii="Arial" w:hAnsi="Arial"/>
          <w:color w:val="404040"/>
          <w:sz w:val="21"/>
        </w:rPr>
        <w:t>El Ministerio de Hacienda presentó un primer paquete de 79 páginas de indicaciones al proyecto de reconstrucción y reactivación, que incluye la creación de un Fondo de Promoción y Protección de la Propiedad Intelectual de mínimo 70.000 UTM anuales para compensar el uso de contenidos en sistemas de IA. También se ajustó el crédito tributario al empleo, el régimen de invariabilidad tributaria por 25 años para proyectos desde US$ 50 millones y la restitucón fiscal cuando una RCA aprobada sea anulada judicialmente. Las modificaciones al beneficio DFL-2 hacen opcional el impuesto único de 5% sobre arriendos para personas naturales desde la tercera vivienda. Las indicaciones no introducen cambios de fondo al proyecto, aunque se esperan enmiendas sustantivas en la etapa del Senado.</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Diego Pereira, economista jefe para el cono sur de JPMorgan: “Es un buen momento como para hacer esta apuesta de sacrificio fiscal”</w:t>
      </w:r>
    </w:p>
    <w:p>
      <w:pPr>
        <w:spacing w:before="40" w:after="60"/>
        <w:ind w:left="283"/>
      </w:pPr>
      <w:r>
        <w:rPr>
          <w:rFonts w:ascii="Arial" w:hAnsi="Arial"/>
          <w:color w:val="404040"/>
          <w:sz w:val="21"/>
        </w:rPr>
        <w:t>El economista jefe para el Cono Sur de JPMorgan, Diego Pereira, destacó que el proyecto de reconstrucción del gobierno se presenta en un contexto internacional idóneo, donde las economías desarrolladas demandan minerales críticos y productos agropecuarios como los que ofrece Chile. Advirtió que la principal fuente de incertidumbre es el crecimiento efectivo, especialmente si el precio del crudo se mantiene en torno a US$ 100 o sube más en la segunda mitad del año, lo que podría elevar la inflación cercana al 4%. El banco revisa al alza la inflación esperada para Chile a cerca de 4% y estima un déficit fiscal de entre 2% y 2,5% del PIB para 2026. Pereira enfatizó la necesidad de establecer un marco legal multianual para la consolidación fiscal que trascienda a la administración actual y evite el deterioro estructural de las cuentas públicas.</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La confianza se consolida como pilar del desempeño laboral</w:t>
      </w:r>
    </w:p>
    <w:p>
      <w:pPr>
        <w:spacing w:before="40" w:after="60"/>
        <w:ind w:left="283"/>
      </w:pPr>
      <w:r>
        <w:rPr>
          <w:rFonts w:ascii="Arial" w:hAnsi="Arial"/>
          <w:color w:val="404040"/>
          <w:sz w:val="21"/>
        </w:rPr>
        <w:t>El Panel Laboral UNAB, elaborado por el Instituto de Políticas Públicas de la Universidad Andrés Bello, reveló que un 92% de los reclutadores ejecutivos encuestados considera que la confianza incide mucho o bastante en los resultados organizacionales, posicionándola como factor central de productividad y coordinación. El 56% de los panelistas asocia la confianza principalmente a la coherencia ética entre el discurso y la acción del líder, por encima de habilidades comunicacionales o experiencia directiva. Pese a su relevancia, medir la confianza sigue siendo un desafío: un 56% de los encuestados reconoció dificultades para transformarla en métricas objetivas. El estudio identificó el compromiso y la motivación de los trabajadores como el principal mecanismo de impacto de la confianza en el desempeño, seguido por la autonomía en la toma de decisiones y la colaboración en equipo.</w:t>
      </w:r>
    </w:p>
    <w:p>
      <w:pPr>
        <w:spacing w:before="0" w:after="80"/>
        <w:jc w:val="left"/>
      </w:pPr>
    </w:p>
    <w:p>
      <w:pPr>
        <w:pStyle w:val="Heading1"/>
        <w:shd w:val="clear" w:color="auto" w:fill="1F4E79"/>
        <w:spacing w:before="320" w:after="160"/>
        <w:ind w:left="227"/>
      </w:pPr>
      <w:r>
        <w:rPr>
          <w:rFonts w:ascii="Arial" w:hAnsi="Arial"/>
          <w:b/>
          <w:color w:val="FFFFFF"/>
          <w:sz w:val="26"/>
        </w:rPr>
        <w:t>INTERNACIONAL</w:t>
      </w:r>
    </w:p>
    <w:p>
      <w:pPr>
        <w:pStyle w:val="Heading2"/>
        <w:spacing w:before="200" w:after="80"/>
      </w:pPr>
      <w:r>
        <w:rPr>
          <w:rFonts w:ascii="Arial" w:hAnsi="Arial"/>
          <w:b/>
          <w:color w:val="2E75B6"/>
          <w:sz w:val="22"/>
        </w:rPr>
        <w:t xml:space="preserve">1.  </w:t>
      </w:r>
      <w:r>
        <w:rPr>
          <w:rFonts w:ascii="Arial" w:hAnsi="Arial"/>
          <w:b/>
          <w:color w:val="1F4E79"/>
          <w:sz w:val="22"/>
        </w:rPr>
        <w:t>General Motors recortará cientos de empleos de cuello blanco en medio de una reestructuración</w:t>
      </w:r>
    </w:p>
    <w:p>
      <w:pPr>
        <w:spacing w:before="40" w:after="60"/>
        <w:ind w:left="283"/>
      </w:pPr>
      <w:r>
        <w:rPr>
          <w:rFonts w:ascii="Arial" w:hAnsi="Arial"/>
          <w:color w:val="404040"/>
          <w:sz w:val="21"/>
        </w:rPr>
        <w:t>General Motors planea despedir entre 500 y 600 trabajadores administrativos del área de tecnología de la información a nivel global, como parte de una transformación interna que busca incorporar personal con nuevas habilidades tecnológicas, incluyendo inteligencia artificial e integración de software en sus vehículos. Los recortes se suman a una oleada anterior de despidos en octubre, que afectó a cientos de puestos administrativos y miles de trabajadores sindicalizados vinculados al negocio de vehículos eléctricos. La automotriz acumula US$ 8.700 millones en cargos por deterioro de su división de vehículos eléctricos, y enfrenta el desafío de mejorar sus utilidades en un contexto donde la guerra en Irán presiona la inflación y sus ventas en EEUU se estancaron a inicios de 2026.</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Alza de la inflación de EEUU supera expectativas ante un salto de 28% anual de los precios de la gasolina</w:t>
      </w:r>
    </w:p>
    <w:p>
      <w:pPr>
        <w:spacing w:before="40" w:after="60"/>
        <w:ind w:left="283"/>
      </w:pPr>
      <w:r>
        <w:rPr>
          <w:rFonts w:ascii="Arial" w:hAnsi="Arial"/>
          <w:color w:val="404040"/>
          <w:sz w:val="21"/>
        </w:rPr>
        <w:t>El IPC de Estados Unidos en abril registró un alza de 0,6% mensual y 3,8% anual, superando en una décima el consenso de analistas y alcanzando el nivel más alto desde mayo de 2023, impulsado principalmente por un alza de 28,4% interanual en los precios de la gasolina y un incremento de 17,9% en energía en general. La inflación subyacente también superó estimaciones, con un avance de 0,4% mensual y 2,8% anual. Los mercados ya habían descartado recortes de tasas por parte de la Fed para 2026, y los datos consolidan la posición de que tampoco están sobre la mesa alzas de tasas en el corto plazo. Economistas advierten que el riesgo es que el shock energético temporal, vinculado al conflicto en Medio Oriente, se vuelva más persistente.</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Fondo inmobiliario de Messi amplía inversiones en Barcelona con la compra de las antiguas galerías Via Wagner para su completa renovación</w:t>
      </w:r>
    </w:p>
    <w:p>
      <w:pPr>
        <w:spacing w:before="40" w:after="60"/>
        <w:ind w:left="283"/>
      </w:pPr>
      <w:r>
        <w:rPr>
          <w:rFonts w:ascii="Arial" w:hAnsi="Arial"/>
          <w:color w:val="404040"/>
          <w:sz w:val="21"/>
        </w:rPr>
        <w:t>Edificio Rostower Socimi, el fondo inmobiliario de Lionel Messi, adquirió las antiguas galerías Via Wagner en Barcelona por 11,5 millones de euros (US$ 13,5 millones), un edificio de 4.000 metros cuadrados cerrado desde 1993 que será renovado en su totalidad y puesto en arriendo. La operación amplía el portafolio barcelonés del jugador argentino, que ya incluye hoteles MiM en Ibiza y Mallorca, estacionamientos y edificios de oficinas. Rostower cotiza en Portfolio, una pequeña bolsa española, con una valoración de 223 millones de euros aunque con liquidez casi nula. Messi, quien vive actualmente en Miami y recientemente adquirió el equipo de fútbol español Unió Esportiva Cornellà, mantuvo fuertes vínculos con Barcelona donde residió la mayor parte de su vida.</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Petróleo sube ante estancamiento de negociaciones y EEUU se alista para suspender impuesto a la gasolina</w:t>
      </w:r>
    </w:p>
    <w:p>
      <w:pPr>
        <w:spacing w:before="40" w:after="60"/>
        <w:ind w:left="283"/>
      </w:pPr>
      <w:r>
        <w:rPr>
          <w:rFonts w:ascii="Arial" w:hAnsi="Arial"/>
          <w:color w:val="404040"/>
          <w:sz w:val="21"/>
        </w:rPr>
        <w:t>El petróleo retomó las alzas al inicio de la semana con subidas de 3% en el Brent y el WTI, que cerraron en US$ 104,21 y US$ 98,07 respectivamente, tras el colapso de las negociaciones entre EEUU e Irán, que exige el levantamiento de sanciones y control permanente del estrecho de Ormuz sin ofrecer concesiones nucleares. Morgan Stanley advierte que si Ormuz sigue cerrado hasta fines de junio, el crudo podría escalar entre US$ 130 y US$ 150 por barril, aunque en su escenario base estima una reapertura temprana. Para contener el impacto en los consumidores ante las próximas elecciones de medio término, Trump evaluó suspender el impuesto federal a la gasolina, que genera unos US$ 2.500 millones mensuales, iniciativa con potencial apoyo bipartidista en el Senado.</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Cumbre de “contención”: qué se espera del cara a cara entre Trump y Xi</w:t>
      </w:r>
    </w:p>
    <w:p>
      <w:pPr>
        <w:spacing w:before="40" w:after="60"/>
        <w:ind w:left="283"/>
      </w:pPr>
      <w:r>
        <w:rPr>
          <w:rFonts w:ascii="Arial" w:hAnsi="Arial"/>
          <w:color w:val="404040"/>
          <w:sz w:val="21"/>
        </w:rPr>
        <w:t>Del 13 al 15 de mayo, Trump y Xi Jinping se reunirán en Beijing en la primera visita oficial entre mandatarios de ambas potencias en casi una década, con la guerra en Medio Oriente y el impasse sobre el estrecho de Ormuz como temas centrales. Expertos coinciden en que será una cumbre de “contención más que reconciliación”, con Trump llegando debilitado por una aprobación del 36% y Xi en una posición relativamente sólida apoyada en la imagen de estabilidad china. Los temas en disputa incluyen comercio, tecnología (IA, semiconductores), Taiwán y el rol de China como potencial mediador con Irán, dado que Beijing absorbe cerca del 90% de las exportaciones petroleras iraníes. Trump está acompañado por Elon Musk, Tim Cook, David Solomon y otros altos ejecutivos, priorizando resultados comerciales concretos.</w:t>
      </w:r>
    </w:p>
    <w:p>
      <w:pPr>
        <w:pBdr>
          <w:bottom w:val="single" w:sz="4" w:space="1" w:color="BDD7EE"/>
        </w:pBdr>
        <w:spacing w:before="80" w:after="80"/>
      </w:pPr>
    </w:p>
    <w:p>
      <w:pPr>
        <w:pStyle w:val="Heading2"/>
        <w:spacing w:before="200" w:after="80"/>
      </w:pPr>
      <w:r>
        <w:rPr>
          <w:rFonts w:ascii="Arial" w:hAnsi="Arial"/>
          <w:b/>
          <w:color w:val="2E75B6"/>
          <w:sz w:val="22"/>
        </w:rPr>
        <w:t xml:space="preserve">6.  </w:t>
      </w:r>
      <w:r>
        <w:rPr>
          <w:rFonts w:ascii="Arial" w:hAnsi="Arial"/>
          <w:b/>
          <w:color w:val="1F4E79"/>
          <w:sz w:val="22"/>
        </w:rPr>
        <w:t>Peter Cerdá, VP de IATA y CEO de ALTA: “El gobierno (de Milei) no ha dado ninguna aclaración de por qué decidieron implementar los aumentos respecto a lo acordado”</w:t>
      </w:r>
    </w:p>
    <w:p>
      <w:pPr>
        <w:spacing w:before="40" w:after="60"/>
        <w:ind w:left="283"/>
      </w:pPr>
      <w:r>
        <w:rPr>
          <w:rFonts w:ascii="Arial" w:hAnsi="Arial"/>
          <w:color w:val="404040"/>
          <w:sz w:val="21"/>
        </w:rPr>
        <w:t>La ANAC de Argentina aprobó una actualización de las tasas aéreas que implicó un alza de 15% en cargos por sobrevuelo internacional y aterrizaje y un incremento de 359% en las tasas de navegación nacional, generando críticas de IATA y ALTA que acusan falta de transparencia y violación de compromisos previos de consulta con el sector. El vicepresidente regional de IATA, Peter Cerdá, advirtió que los aumentos podrían llevar a las aerolíneas a reducir frecuencias en Argentina y frenar el crecimiento hacia nuevos destinos, en momentos en que el país registró el mayor aumento de tráfico aéreo de América Latina en 2025, con 33,3 millones de pasajeros y un alza de 13,2%. La medida contrasta con la política de cielos abiertos del gobierno de Milei y, según Cerdá, ya provoca que vuelos internacionales eviten el espacio aéreo argentino redirigiendo por la costa del Pacífico a través de Perú y Chile.</w:t>
      </w:r>
    </w:p>
    <w:p>
      <w:pPr>
        <w:spacing w:before="0" w:after="80"/>
        <w:jc w:val="left"/>
      </w:pPr>
    </w:p>
    <w:p>
      <w:pPr>
        <w:pStyle w:val="Heading1"/>
        <w:shd w:val="clear" w:color="auto" w:fill="1F4E79"/>
        <w:spacing w:before="320" w:after="160"/>
        <w:ind w:left="227"/>
      </w:pPr>
      <w:r>
        <w:rPr>
          <w:rFonts w:ascii="Arial" w:hAnsi="Arial"/>
          <w:b/>
          <w:color w:val="FFFFFF"/>
          <w:sz w:val="26"/>
        </w:rPr>
        <w:t>INNOVACIÓN</w:t>
      </w:r>
    </w:p>
    <w:p>
      <w:pPr>
        <w:pStyle w:val="Heading2"/>
        <w:spacing w:before="200" w:after="80"/>
      </w:pPr>
      <w:r>
        <w:rPr>
          <w:rFonts w:ascii="Arial" w:hAnsi="Arial"/>
          <w:b/>
          <w:color w:val="2E75B6"/>
          <w:sz w:val="22"/>
        </w:rPr>
        <w:t xml:space="preserve">1.  </w:t>
      </w:r>
      <w:r>
        <w:rPr>
          <w:rFonts w:ascii="Arial" w:hAnsi="Arial"/>
          <w:b/>
          <w:color w:val="1F4E79"/>
          <w:sz w:val="22"/>
        </w:rPr>
        <w:t>Qué es el webscraping y la redirección de contenidos y cómo afecta a los medios de comunicación</w:t>
      </w:r>
    </w:p>
    <w:p>
      <w:pPr>
        <w:spacing w:before="40" w:after="60"/>
        <w:ind w:left="283"/>
      </w:pPr>
      <w:r>
        <w:rPr>
          <w:rFonts w:ascii="Arial" w:hAnsi="Arial"/>
          <w:color w:val="404040"/>
          <w:sz w:val="21"/>
        </w:rPr>
        <w:t>Expertos legales y de ética empresarial analizaron el impacto del webscraping y la redirección de contenidos periodísticos, en el contexto de la demanda de Copesa contra Google ante el TDLC por abuso de posición dominante en el mercado de noticias y publicidad digital. El webscraping consiste en la extracción automatizada y masiva de información sin consentimiento del titular de derechos, mientras que la redirección captura y republica materiales periodísticos con fines comerciales, desviando tráfico y afectando ingresos por publicidad y suscripciones. Abogados advierten que Chile carece de derechos conexos para editores de prensa y de un marco regulatorio para la minería de texto y datos, a diferencia de la Unión Europea, que en 2019 obligó el licenciamiento de contenidos. La discusión gana urgencia al sumarse los principales canales de televisión a la causa judicial.</w:t>
      </w:r>
    </w:p>
    <w:p>
      <w:pPr>
        <w:spacing w:before="0" w:after="80"/>
        <w:jc w:val="left"/>
      </w:pPr>
    </w:p>
    <w:p>
      <w:pPr>
        <w:pStyle w:val="Heading1"/>
        <w:shd w:val="clear" w:color="auto" w:fill="1F4E79"/>
        <w:spacing w:before="320" w:after="160"/>
        <w:ind w:left="227"/>
      </w:pPr>
      <w:r>
        <w:rPr>
          <w:rFonts w:ascii="Arial" w:hAnsi="Arial"/>
          <w:b/>
          <w:color w:val="FFFFFF"/>
          <w:sz w:val="26"/>
        </w:rPr>
        <w:t>OPINIÓN</w:t>
      </w:r>
    </w:p>
    <w:p>
      <w:pPr>
        <w:pStyle w:val="Heading2"/>
        <w:spacing w:before="200" w:after="80"/>
      </w:pPr>
      <w:r>
        <w:rPr>
          <w:rFonts w:ascii="Arial" w:hAnsi="Arial"/>
          <w:b/>
          <w:color w:val="2E75B6"/>
          <w:sz w:val="22"/>
        </w:rPr>
        <w:t xml:space="preserve">1.  </w:t>
      </w:r>
      <w:r>
        <w:rPr>
          <w:rFonts w:ascii="Arial" w:hAnsi="Arial"/>
          <w:b/>
          <w:color w:val="1F4E79"/>
          <w:sz w:val="22"/>
        </w:rPr>
        <w:t>Chile Day y el retorno de la inversión</w:t>
      </w:r>
    </w:p>
    <w:p>
      <w:pPr>
        <w:spacing w:before="40" w:after="60"/>
        <w:ind w:left="283"/>
      </w:pPr>
      <w:r>
        <w:rPr>
          <w:rFonts w:ascii="Arial" w:hAnsi="Arial"/>
          <w:color w:val="404040"/>
          <w:sz w:val="21"/>
        </w:rPr>
        <w:t>El editorial analiza el Chile Day 2026 en Nueva York y Toronto, donde el ministro de Hacienda, Jorge Quiroz, reposicionó a Chile como destino de inversión reconociendo el deterioro económico de los últimos años —PIB tendencial bajo 2%, desempleo sobre 8% por más de tres años y estrechez fiscal— y llamando abiertamente a los inversores a “volver”. La recepción en el mercado ha sido positiva, con interés centrado en infraestructura, minería y energía, favorecida por el ingreso de US$ 28.500 millones en proyectos al sistema de evaluación ambiental en el primer trimestre. El editorial argumenta que la discusión legislativa interna no debería ralentizar el proyecto de reconstrucción sin contrapropuestas sustantivas, ya que las ventanas de oportunidad para atraer capital son efímeras. Señala que convertir el interés en inversión efectiva depende de la capacidad del país para dar señales consistentes de certeza regulatoria y apertura institucional.</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Golpe al turismo</w:t>
      </w:r>
    </w:p>
    <w:p>
      <w:pPr>
        <w:spacing w:before="40" w:after="60"/>
        <w:ind w:left="283"/>
      </w:pPr>
      <w:r>
        <w:rPr>
          <w:rFonts w:ascii="Arial" w:hAnsi="Arial"/>
          <w:color w:val="404040"/>
          <w:sz w:val="21"/>
        </w:rPr>
        <w:t>El editorial critica la decisión del gobierno de eliminar del proyecto de reactivación los principales incentivos para el sector turístico, incluyendo mecanismos para atraer congresos internacionales, promover producciones audiovisuales extranjeras y fortalecer la promoción turística internacional. La medida se da en un contexto en que el presupuesto de promoción internacional ya había caído un 30% en 2026, con la promesa de compensar la reducción mediante este proyecto, compromiso que finalmente no se cumplió. El turismo genera más de 700.000 empleos en Chile, con fuerte impacto regional, y otros países de la región están aumentando su inversión en promoción internacional mientras Chile retrocede. La Presidenta Ejecutiva de la Federación de Empresas de Turismo llama a generar espacios de diálogo para recuperar al menos parte de los recursos destinados al sector.</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Chile en la lista negra de propiedad intelectual</w:t>
      </w:r>
    </w:p>
    <w:p>
      <w:pPr>
        <w:spacing w:before="40" w:after="60"/>
        <w:ind w:left="283"/>
      </w:pPr>
      <w:r>
        <w:rPr>
          <w:rFonts w:ascii="Arial" w:hAnsi="Arial"/>
          <w:color w:val="404040"/>
          <w:sz w:val="21"/>
        </w:rPr>
        <w:t>Chile fue incluido nuevamente en la Priority Watch List del informe Special 301 de Estados Unidos, que cuestiona el sistema nacional de propiedad intelectual, especialmente en la persecución efectiva de infracciones. La autora, académica de la Universidad Andrés Bello, advierte que el instrumento no es neutral sino una herramienta de política comercial estadounidense, por lo que el diagnóstico debe leerse con cautela. El desafío de fondo es interno: Chile no carece de normas sino de aplicación efectiva, y enfrenta una tensión entre proteger derechos de propiedad intelectual y promover una economía basada en datos y tecnología. La reflexión centra el debate en qué modelo de propiedad intelectual quiere construir el país, más allá del objetivo de salir de la lista.</w:t>
      </w:r>
    </w:p>
    <w:p>
      <w:pPr>
        <w:spacing w:before="0" w:after="80"/>
        <w:jc w:val="left"/>
      </w:pPr>
    </w:p>
    <w:sectPr w:rsidR="00FC693F" w:rsidRPr="0006063C" w:rsidSect="00034616">
      <w:headerReference w:type="default" r:id="rId9"/>
      <w:footerReference w:type="default" r:id="rId10"/>
      <w:pgSz w:w="12240" w:h="15840"/>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99999"/>
        <w:sz w:val="18"/>
      </w:rPr>
      <w:t xml:space="preserve">Página </w:t>
      <w:fldChar w:fldCharType="begin"/>
    </w:r>
    <w:r>
      <w:instrText>PAGE</w:instrText>
    </w:r>
    <w:r>
      <w:fldChar w:fldCharType="end"/>
    </w:r>
    <w:r>
      <w:rPr>
        <w:rFonts w:ascii="Arial" w:hAnsi="Arial"/>
        <w:color w:val="999999"/>
        <w:sz w:val="18"/>
      </w:rPr>
      <w:t xml:space="preserve"> de </w:t>
      <w:fldChar w:fldCharType="begin"/>
    </w:r>
    <w:r>
      <w:instrText>NUMPAGES</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1F4E79"/>
        <w:sz w:val="18"/>
      </w:rPr>
      <w:t>Resumen Diario Financiero  ·  12 de mayo de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