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5 De Mayo De 2026</w:t>
      </w:r>
    </w:p>
    <w:p>
      <w:pPr>
        <w:jc w:val="center"/>
      </w:pPr>
      <w:r>
        <w:rPr>
          <w:rFonts w:ascii="Arial" w:hAnsi="Arial"/>
          <w:color w:val="999999"/>
          <w:sz w:val="20"/>
        </w:rPr>
        <w:t>6 secciones  ·  28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baja con fuerza y el cobre Comex se dispara casi 3% a medida en que disminuyen las tensiones en Medio Oriente</w:t>
      </w:r>
    </w:p>
    <w:p>
      <w:pPr>
        <w:spacing w:before="40" w:after="60"/>
        <w:ind w:left="283"/>
      </w:pPr>
      <w:r>
        <w:rPr>
          <w:rFonts w:ascii="Arial" w:hAnsi="Arial"/>
          <w:color w:val="404040"/>
          <w:sz w:val="21"/>
        </w:rPr>
        <w:t>El peso chileno se fortaleció este martes, retrocediendo $8,2 hasta los $904,3, tras haber saltado más de $10 el lunes, impulsado por el alza del cobre Comex que trepó 2,9% a US$6,01 la libra. El petróleo Brent cedía 3,4% a US$110,6 el barril, reflejando cierta distensión en Medio Oriente luego de que el jefe del Estado Mayor Conjunto estadounidense declarara que los ataques iraníes están por debajo del umbral para reanudar operaciones de combate. Los analistas de Scotiabank señalaron que si Trump opta por rebajar la tensión con Teherán antes de su visita a China el 14 de mayo, el apetito por riesgo podría recuperarse, beneficiando a las divisas emergentes.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Ubicado en un barrio top de Madrid y enfocado en altos patrimonios: el perfil de A&amp;G, la firma de banca privada donde desembarcaron los exSecurity</w:t>
      </w:r>
    </w:p>
    <w:p>
      <w:pPr>
        <w:spacing w:before="40" w:after="60"/>
        <w:ind w:left="283"/>
      </w:pPr>
      <w:r>
        <w:rPr>
          <w:rFonts w:ascii="Arial" w:hAnsi="Arial"/>
          <w:color w:val="404040"/>
          <w:sz w:val="21"/>
        </w:rPr>
        <w:t>A&amp;G, boutique española de gestión patrimonial fundada en 1987 con sede en el Paseo de La Castellana de Madrid y más de US$20 mil millones en activos bajo gestión, ingresó al radar chileno tras incorporar como accionistas a exsocios del Grupo Security: Renato Peñafiel, Gonzalo Pavez, Álvaro Vial, Fernando Salinas e Ignacio Prado. Esta entrada se suma a la participación reforzada de la familia Lería Luksic, el family office de Rafael Nadal y otras familias latinoamericanas como los Motta (Panamá), los Losada y Junco de la Vega (México). La firma, que opera como el primer multifamily office de España bajo licencia bancaria desde 2014, busca consolidar su presencia en Latinoamérica combinando su plataforma de arquitectura abierta con el conocimiento local de sus nuevos socios chilenos.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IPSA recupera los 10.800 puntos en repunte global de bolsas mientras sigue la tregua entre EEUU e Irán</w:t>
      </w:r>
    </w:p>
    <w:p>
      <w:pPr>
        <w:spacing w:before="40" w:after="60"/>
        <w:ind w:left="283"/>
      </w:pPr>
      <w:r>
        <w:rPr>
          <w:rFonts w:ascii="Arial" w:hAnsi="Arial"/>
          <w:color w:val="404040"/>
          <w:sz w:val="21"/>
        </w:rPr>
        <w:t>Las bolsas globales rebotaron este martes tras la postura pacífica de Washington frente a Irán: el S&amp;P IPSA chileno abrió con un alza de 0,9% hasta los 10.813 puntos, liderado por SQM-B (+4,2%) y apoyado también por Entel (+1,9%), que reportó crecimiento de 10% en Ebitda y 20% en utilidades netas en el primer trimestre. En Wall Street, el Nasdaq subía 0,9%, el S&amp;P 500 ganaba 0,6% y el Dow Jones crecía 0,3%, mientras el Euro Stoxx 50 europeo avanzaba 1,5%. El Brent retrocedía 2,8% a US$111 el barril, reflejando la continuación de la tregua pese a los incidentes marítimos violentos del lunes en el estrecho de Ormuz.</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Incertidumbre político-económica, regulación y guerras: los riesgos que reportaron Banco de Chile y Santander a la SEC de EEUU</w:t>
      </w:r>
    </w:p>
    <w:p>
      <w:pPr>
        <w:spacing w:before="40" w:after="60"/>
        <w:ind w:left="283"/>
      </w:pPr>
      <w:r>
        <w:rPr>
          <w:rFonts w:ascii="Arial" w:hAnsi="Arial"/>
          <w:color w:val="404040"/>
          <w:sz w:val="21"/>
        </w:rPr>
        <w:t>Banco de Chile y Santander presentaron ante la SEC sus informes anuales 20-F, identificando tres grandes frentes de riesgo: incertidumbre político-económica, entorno regulatorio más exigente y conflictos geopolíticos. Banco de Chile advirtió que la alta concentración de sus operaciones en el país lo expone a la agenda del gobierno de Kast y a eventos de conflictividad social, mientras Santander subrayó la sensibilidad del negocio a cambios macro y destacó los riesgos de los estándares de Basilea III, como el LCR y el NSFR. Ambas entidades señalaron que la continuación del conflicto en Medio Oriente podría ampliar la volatilidad en los mercados y tensar sus condiciones de financiamiento.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Estudio de Fintual asegura que el fondo E es el de mayor volatilidad durante los últimos cinco años</w:t>
      </w:r>
    </w:p>
    <w:p>
      <w:pPr>
        <w:spacing w:before="40" w:after="60"/>
        <w:ind w:left="283"/>
      </w:pPr>
      <w:r>
        <w:rPr>
          <w:rFonts w:ascii="Arial" w:hAnsi="Arial"/>
          <w:color w:val="404040"/>
          <w:sz w:val="21"/>
        </w:rPr>
        <w:t>Un estudio de Fintual AGF reveló que el fondo E de las AFP, diseñado como el más conservador del sistema, fue el de mayor volatilidad anualizada entre 2021 y 2025, alcanzando un 10,1% frente al 9,5% del fondo A y el 7,5% del B. La razón radica en que las AFP incrementaron la duración de los instrumentos de renta fija y ampliaron el uso de contratos de derivados dentro del selectivo, elevando su sensibilidad a los movimientos de tasas de interés. La Superintendencia de Pensiones emitió en marzo una norma limitando el uso de estos derivados, en respuesta al efecto manada generado por la ausencia de un benchmark de referencia en el sistema.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Andrés Fuenzalida deja la gerencia general de Copefrut tras 11 años al mando de una de las principales exportadores de fruta del país</w:t>
      </w:r>
    </w:p>
    <w:p>
      <w:pPr>
        <w:spacing w:before="40" w:after="60"/>
        <w:ind w:left="283"/>
      </w:pPr>
      <w:r>
        <w:rPr>
          <w:rFonts w:ascii="Arial" w:hAnsi="Arial"/>
          <w:color w:val="404040"/>
          <w:sz w:val="21"/>
        </w:rPr>
        <w:t>Copefrut anunció la salida de Andrés Fuenzalida de la gerencia general, cargo que ocupó 11 años, en los que lideró a la compañía a través de mercados más competitivos, cadenas logísticas tensionadas y mayores exigencias de calidad y sostenibilidad. En su reemplazo asumirá Manuel Ibáñez, hasta ahora gerente de operaciones y agrónomo de la UC, mientras Fuenzalida pasará al directorio. La empresa, con más de siete décadas de historia y origen cooperativo, exporta manzanas, cerezas, kiwis y carozos a destinos premium como Estados Unidos, Europa y Asia.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Filial de Echeverría Izquierdo se asocia con una de las firmas de ingeniería más antiguas de EEUU para proyectos mineros y de infraestructura en Chile</w:t>
      </w:r>
    </w:p>
    <w:p>
      <w:pPr>
        <w:spacing w:before="40" w:after="60"/>
        <w:ind w:left="283"/>
      </w:pPr>
      <w:r>
        <w:rPr>
          <w:rFonts w:ascii="Arial" w:hAnsi="Arial"/>
          <w:color w:val="404040"/>
          <w:sz w:val="21"/>
        </w:rPr>
        <w:t>Bechtel, compañía de ingeniería y construcción fundada en 1898 con presencia en proyectos icónicos como la presa Hoover y el aeropuerto de Hong Kong, se asoció con Eimisa, filial de Echeverría Izquierdo, para ejecutar conjuntamente proyectos de minería e infraestructura a gran escala en Chile y Sudamérica. El acuerdo combina la capacidad de entrega integral de Bechtel con el historial probado de Eimisa en construcción por contratación directa, apuntando a una cartera creciente de proyectos complejos impulsada por la aceleración de la inversión minera regional. Las partes destacaron que la colaboración responde a la mayor exigencia de los clientes en cuanto a eficiencia de ejecución y altos estándares de seguridad y calidad.</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Reconocido empresario de Temuco enfrenta más de 17 años de presidio acusado de vaciar su patrimonio para evitar el pago a sus acreedores</w:t>
      </w:r>
    </w:p>
    <w:p>
      <w:pPr>
        <w:spacing w:before="40" w:after="60"/>
        <w:ind w:left="283"/>
      </w:pPr>
      <w:r>
        <w:rPr>
          <w:rFonts w:ascii="Arial" w:hAnsi="Arial"/>
          <w:color w:val="404040"/>
          <w:sz w:val="21"/>
        </w:rPr>
        <w:t>El empresario Carlos García Gross enfrenta penas que superan los 17 años de presidio por haber vaciado su patrimonio —incluyendo unos 30 inmuebles y participaciones en sociedades— mediante contratos simulados de compraventa a precios irrisorios en favor de su cónyuge, hijos y su abogado Ramón Ossa. Los querellantes, que representan a las juntas de acreedores, presentaron demanda civil por más de $8 mil millones, señalando que García Gross transfirió empresas con ventas anuales de $3 mil millones por tan solo $20 millones. La defensa busca el sobreseimiento por un supuesto deterioro cognitivo del imputado, quien estuvo casi cinco meses como prófugo antes de ser capturado en septiembre de 2024; la audiencia de preparación del juicio oral está fijada para el 13 de mayo.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Comité de Ministros revisará este jueves reclamación de iniciativa del Grupo Errázuriz que es la más antigua en tramitación ambiental</w:t>
      </w:r>
    </w:p>
    <w:p>
      <w:pPr>
        <w:spacing w:before="40" w:after="60"/>
        <w:ind w:left="283"/>
      </w:pPr>
      <w:r>
        <w:rPr>
          <w:rFonts w:ascii="Arial" w:hAnsi="Arial"/>
          <w:color w:val="404040"/>
          <w:sz w:val="21"/>
        </w:rPr>
        <w:t>Este jueves el Comité de Ministros revisará las reclamaciones de dos proyectos con inversión combinada de US$219 millones: la Planta de Sales de Potasio SLM NX Uno de Peine (Grupo Errázuriz, US$143 millones), el proyecto más antiguo en tramitación ambiental con ingreso desde 2009, cuyo EIA fue calificado desfavorablemente por la Coeva de Antofagasta; y las Obras de Control Aluvional de la Quebrada de Ramón del MOP (US$76 millones), impugnado por vecinos que alegan que la aprobación careció de los antecedentes técnicos mínimos exigidos por la Ley 19.300. La sesión anterior del 27 de abril desbloqueó US$225 millones en dos proyectos de los cuatro previstos.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Elecmetal reporta una utilidad de $ 30.774 millones en el primer trimestre tras venta de participación en ESEL</w:t>
      </w:r>
    </w:p>
    <w:p>
      <w:pPr>
        <w:spacing w:before="40" w:after="60"/>
        <w:ind w:left="283"/>
      </w:pPr>
      <w:r>
        <w:rPr>
          <w:rFonts w:ascii="Arial" w:hAnsi="Arial"/>
          <w:color w:val="404040"/>
          <w:sz w:val="21"/>
        </w:rPr>
        <w:t>Elecmetal registró ganancias atribuibles a sus propietarios de $30.774 millones en el primer trimestre de 2026, un alza de 165,4% respecto de igual período de 2025, impulsada principalmente por la venta de su participación del 50% en la joint venture ESEL, operación que generó una utilidad antes de impuesto de $31.978 millones. Los ingresos de explotación consolidados sumaron $293.278 millones, una baja de 1,7%, afectados por una disminución en el negocio de envases, mientras el negocio metalúrgico creció 2,1% en ingresos hasta $214.402 millones gracias a la intensa actividad minera global, aunque la depreciación del tipo de cambio en 8,1% presionó sus márgenes.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Autoridad ambiental aprueba la mayor desaladora del país por US$ 5.000 millones en la Región de Antofagasta</w:t>
      </w:r>
    </w:p>
    <w:p>
      <w:pPr>
        <w:spacing w:before="40" w:after="60"/>
        <w:ind w:left="283"/>
      </w:pPr>
      <w:r>
        <w:rPr>
          <w:rFonts w:ascii="Arial" w:hAnsi="Arial"/>
          <w:color w:val="404040"/>
          <w:sz w:val="21"/>
        </w:rPr>
        <w:t>La Coeva de la Región de Antofagasta aprobó por unanimidad cuatro proyectos por un total de US$5.341 millones, encabezados por la desaladora Aguas Marítimas de CRAMSA, la mayor del país con una inversión de US$5.000 millones. La planta producirá 700.000 m³ diarios de agua desalinizada mediante ósmosis inversa para abastecer las zonas urbanas de Antofagasta Norte, La Negra y Calama, a través de 472 km de tuberías enterradas, con inicio de construcción previsto para el primer semestre de 2027 y operación en 2029. Se trata de la inversión de mayor envergadura aprobada ambientalmente desde el proyecto Quebrada Blanca de Teck en 2018.</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Isa Vías traza plan de inversión por US$ 2.900 millones al 2040 con foco en rutas urbanas e interurbanas</w:t>
      </w:r>
    </w:p>
    <w:p>
      <w:pPr>
        <w:spacing w:before="40" w:after="60"/>
        <w:ind w:left="283"/>
      </w:pPr>
      <w:r>
        <w:rPr>
          <w:rFonts w:ascii="Arial" w:hAnsi="Arial"/>
          <w:color w:val="404040"/>
          <w:sz w:val="21"/>
        </w:rPr>
        <w:t>Isa Vías, controlada por el grupo colombiano Ecopetrol y con cuatro concesiones adjudicadas en Chile más la reciente Río Bueno-Puerto Montt, planea invertir US$2.900 millones hacia 2040, ampliando su foco desde las autopistas interurbanas al ámbito urbano tras la adjudicación de Orbital Sur. El gerente general Andrés Contreras alertó que la evasión en pórticos TAG se ha convertido en una amenaza creciente para la industria, con cerca de 1.100 camiones evadiendo diariamente el pago en Ruta del Maipo, lo que equivale al 15% del tráfico de ese tipo de vehículos, y llamó a una mayor fiscalización estatal para contenerla. Contreras también advirtió que el sector enfrenta menor competencia, extensos plazos de inversión y una creciente judicialización, y que se requieren cambios normativos profundos para destrabar el sistema.</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¿Litio desde descartes mineros?: Contraloría da luz verde a inédito proyecto de Quiborax para extraer el mineral desde ripios</w:t>
      </w:r>
    </w:p>
    <w:p>
      <w:pPr>
        <w:spacing w:before="40" w:after="60"/>
        <w:ind w:left="283"/>
      </w:pPr>
      <w:r>
        <w:rPr>
          <w:rFonts w:ascii="Arial" w:hAnsi="Arial"/>
          <w:color w:val="404040"/>
          <w:sz w:val="21"/>
        </w:rPr>
        <w:t>Contraloría aprobó el inédito proyecto de Quiborax para extraer litio desde los ripios y descartes generados por su operación minera, lo que representaría una nueva forma de valorizar residuos del proceso productivo. La compañía realiza estudios para determinar qué tecnología de extracción directa es la más adecuada para recuperar el llamado 'oro blanco' desde estos materiales de descarte.</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Pedro Pizarro (RN): "Si se fiscaliza bien y se aplica bien la reintegración, al final del día, se termina recaudando igual que al nivel de los impuestos finales”</w:t>
      </w:r>
    </w:p>
    <w:p>
      <w:pPr>
        <w:spacing w:before="40" w:after="60"/>
        <w:ind w:left="283"/>
      </w:pPr>
      <w:r>
        <w:rPr>
          <w:rFonts w:ascii="Arial" w:hAnsi="Arial"/>
          <w:color w:val="404040"/>
          <w:sz w:val="21"/>
        </w:rPr>
        <w:t>El vicepresidente del Instituto Libertad y exsubsecretario de Previsión Social, en el segundo gobierno del expresidente Sebastián Piñera, defiende en gran parte el proyecto de reactivación económica, salvo que se pretenda eliminar el Sence y cree que habría que focalizar mejor el alcance del subsidio al empleo. Pizarro analizó el proyecto de reactivación económica en el podcast La Vereda Política de Diario Financiero. El vicepresidente del Instituto Libertad, ligado a Renovación Nacional (RN), Pedro Pizarro,analiza el proyecto de reactivación económica en el podcast La Vereda Política de Diario Financiero. El abogado, quien fuera subsecretario de Previsión Social en la segunda administración del expresidente Sebastián Piñera, cree que es necesario para el país el proyecto del gobierno que busca reactivar la economía.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Encuesta del Banco Central: Empresas ajustan al alza sus expectativas de precios para este año, pero mantienen para el próximo</w:t>
      </w:r>
    </w:p>
    <w:p>
      <w:pPr>
        <w:spacing w:before="40" w:after="60"/>
        <w:ind w:left="283"/>
      </w:pPr>
      <w:r>
        <w:rPr>
          <w:rFonts w:ascii="Arial" w:hAnsi="Arial"/>
          <w:color w:val="404040"/>
          <w:sz w:val="21"/>
        </w:rPr>
        <w:t>La Encuesta de Determinantes y Expectativas de Precios del trimestre móvil enero-febrero-marzo del Banco Central reveló que las empresas elevaron sus expectativas de inflación para los próximos 12 meses de 3% a 3,3%, impulsadas por el conflicto en Medio Oriente y su efecto en costos de insumos y disponibilidad de materiales. No obstante, las firmas mantienen la expectativa de que en 24 meses la inflación retornará al 3%, en línea con la meta del Banco Central, y los precios de venta permanecen en zona de neutralidad sin variaciones relevantes. El tipo de cambio sigue ejerciendo una presión por debajo del nivel neutral, aunque con una leve reversión respecto a meses anteriores.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FMI pone nota de cautela sobre medidas con alto costo fiscal en proyecto misceláneo del gobierno</w:t>
      </w:r>
    </w:p>
    <w:p>
      <w:pPr>
        <w:spacing w:before="40" w:after="60"/>
        <w:ind w:left="283"/>
      </w:pPr>
      <w:r>
        <w:rPr>
          <w:rFonts w:ascii="Arial" w:hAnsi="Arial"/>
          <w:color w:val="404040"/>
          <w:sz w:val="21"/>
        </w:rPr>
        <w:t>El FMI reconoció los aspectos pro inversión del proyecto de reactivación del gobierno de Kast —especialmente la reducción gradual del impuesto corporativo del 27% al 23%, el crédito al empleo y la reintegración tributaria— pero advirtió que el déficit fiscal generado deberá compensarse con medidas proporcionales de gasto e ingresos. El organismo proyecta un déficit fiscal de 2,5% del PIB para Chile este año e indicó que sin un esfuerzo fiscal acumulado de entre 2 y 3 puntos porcentuales del PIB, el objetivo de deuda por debajo del 45% no se logrará. Mantuvo su proyección de crecimiento en 2,2% para 2026 y 2,5% para 2027, con riesgos a la baja en el corto plazo asociados al conflicto en Medio Oriente y las tensiones comerciales.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Tras caída de la actividad en el primer trimestre, mercado ve más difícil lograr PIB de 2% este año</w:t>
      </w:r>
    </w:p>
    <w:p>
      <w:pPr>
        <w:spacing w:before="40" w:after="60"/>
        <w:ind w:left="283"/>
      </w:pPr>
      <w:r>
        <w:rPr>
          <w:rFonts w:ascii="Arial" w:hAnsi="Arial"/>
          <w:color w:val="404040"/>
          <w:sz w:val="21"/>
        </w:rPr>
        <w:t>El Imacec de marzo cayó 0,1% interanual, acumulando un retroceso de 0,3% en el primer trimestre —la mayor caída para ese período desde 2020—, impulsado por bajas de 2,7% en la industria y 2,4% en la minería, afectada por una menor ley del mineral de cobre. Ante este resultado, varias instituciones recortaron sus proyecciones de PIB para 2026: Zurich bajó de 2,3% a 1,9%, Coopeuch de 2,2% a 1,9%, JP Morgan de 2,4% a 2,1%, y Credicorp Capital anticipa un crecimiento por debajo del 2%. El ministro Quiroz destacó la urgencia del plan de reactivación ante 900 mil desempleados y un déficit público de 2,8% del PIB en 12 meses.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Senadores advierten inconstitucionalidad en propuesta para devolver gastos cuando permiso ambiental es anulado</w:t>
      </w:r>
    </w:p>
    <w:p>
      <w:pPr>
        <w:spacing w:before="40" w:after="60"/>
        <w:ind w:left="283"/>
      </w:pPr>
      <w:r>
        <w:rPr>
          <w:rFonts w:ascii="Arial" w:hAnsi="Arial"/>
          <w:color w:val="404040"/>
          <w:sz w:val="21"/>
        </w:rPr>
        <w:t>En la comisión de Medio Ambiente del Senado, parlamentarios del oficialismo y la oposición cuestionaron la propuesta del gobierno de restituir los gastos incurridos por titulares de proyectos cuando una Resolución de Calificación Ambiental (RCA) es anulada judicialmente. Los senadores Celis, De Urresti, Longton e Ibáñez alertaron sobre posibles inconstitucionalidades, incentivos perversos —tanto para que empresas inviertan confiando en permisos irregulares como para que el Estado rechace proyectos preventivamente— y la violación de la separación de poderes al involucrar al Ministerio de Hacienda en un procedimiento judicial. El subsecretario de Hacienda, Juan Pablo Rodríguez, argumentó que pese a que solo el 2% de las inversiones con RCA favorable han sido revocadas, el efecto sobre la decisión de invertir es desproporcionadamente severo.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SII entra al debate por la ley de reactivación y destaca la baja de tasa corporativa y la ventana para repatriar capitales</w:t>
      </w:r>
    </w:p>
    <w:p>
      <w:pPr>
        <w:spacing w:before="40" w:after="60"/>
        <w:ind w:left="283"/>
      </w:pPr>
      <w:r>
        <w:rPr>
          <w:rFonts w:ascii="Arial" w:hAnsi="Arial"/>
          <w:color w:val="404040"/>
          <w:sz w:val="21"/>
        </w:rPr>
        <w:t>El nuevo director del SII, Jorge Trujillo, debutó en la comisión de Hacienda de la Cámara presentando los 13 artículos del proyecto de reactivación con impacto tributario, siendo el subdirector de Normativa Simón Ramírez quien detalló las principales medidas: rebaja gradual del impuesto de primera categoría del 27% al 23%, reintegración del sistema tributario, eliminación del impuesto del 10% a ganancias de capital bursátiles, invariabilidad tributaria por 25 años y declaración de bienes en el exterior con una tasa del 10% rebajable al 7% si se repatrian los fondos. El exdirector del SII Michel Jorratt criticó la rebaja corporativa sin compensación clara, la invariabilidad tributaria y las ventanas transitorias, mientras el presidente de la Comisión Tributaria del Colegio de Contadores destacó que la recaudación tributaria ha permanecido estancada en torno al 17% del PIB pese a sucesivas reformas.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Escándalos y desaceleración económica golpean la imagen de Milei en Argentina</w:t>
      </w:r>
    </w:p>
    <w:p>
      <w:pPr>
        <w:spacing w:before="40" w:after="60"/>
        <w:ind w:left="283"/>
      </w:pPr>
      <w:r>
        <w:rPr>
          <w:rFonts w:ascii="Arial" w:hAnsi="Arial"/>
          <w:color w:val="404040"/>
          <w:sz w:val="21"/>
        </w:rPr>
        <w:t>La aprobación del presidente argentino Javier Milei cayó desde mediados del 40% en febrero hasta mediados del 30% en mayo, golpeada por escándalos de enriquecimiento ilícito de su jefe de gabinete Manuel Adorni y una desaceleración económica que afecta principalmente a pequeñas empresas, manufactura y comercio minorista. Los salarios reales han caído un 3,5% desde agosto y el desempleo alcanzó el 7,5% en el cuarto trimestre de 2025, a pesar de que el FMI proyecta un crecimiento del PIB del 3,5% para este año, concentrado en sectores exportadores como minería, energía y agricultura. Los analistas advierten que Milei debe reequilibrar su política hacia la actividad económica y alejarse del foco exclusivo en la inflación antes de las elecciones legislativas de 2027.</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Británica Ineos Energy y Shell se unen para explorar nuevas oportunidades de petróleo y gas en el Golfo de México</w:t>
      </w:r>
    </w:p>
    <w:p>
      <w:pPr>
        <w:spacing w:before="40" w:after="60"/>
        <w:ind w:left="283"/>
      </w:pPr>
      <w:r>
        <w:rPr>
          <w:rFonts w:ascii="Arial" w:hAnsi="Arial"/>
          <w:color w:val="404040"/>
          <w:sz w:val="21"/>
        </w:rPr>
        <w:t>Ineos Energy y Shell Offshore anunciaron una asociación para explorar y desarrollar conjuntamente oportunidades de petróleo y gas en el Golfo de México, centradas en zonas cercanas a la plataforma Appomattox. Ineos adquirirá una participación del 21% en los activos relevantes, en línea con su participación existente en Appomattox, Rydberg y el reciente descubrimiento de Nashville. La colaboración incluye inicialmente tres proyectos de exploración y producción: el descubrimiento de Fort Sumter de Shell, la perforación del pozo Sisco y otro pozo previsto para finales de 2030.</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Google, xAI y Microsoft acuerdan someter nuevos modelos de IA a revisiones de seguridad nacional en EEUU</w:t>
      </w:r>
    </w:p>
    <w:p>
      <w:pPr>
        <w:spacing w:before="40" w:after="60"/>
        <w:ind w:left="283"/>
      </w:pPr>
      <w:r>
        <w:rPr>
          <w:rFonts w:ascii="Arial" w:hAnsi="Arial"/>
          <w:color w:val="404040"/>
          <w:sz w:val="21"/>
        </w:rPr>
        <w:t>El Center for AI Standards and Innovation del Departamento de Comercio de Estados Unidos firmó acuerdos con Google DeepMind, Microsoft y xAI para realizar evaluaciones previas al despliegue público de sus nuevos modelos de inteligencia artificial, con foco en riesgos de ciberseguridad, bioseguridad y armas químicas. La medida sigue al acuerdo similar firmado con Anthropic y OpenAI durante la administración Biden, y se produce en un contexto de preocupación gubernamental por el modelo Mythos de Anthropic, que según la compañía tiene mayor capacidad para identificar y explotar vulnerabilidades de ciberseguridad. El CEO de Anthropic, Dario Amodei, se reunió con la jefa de gabinete de la Casa Blanca tras un período de tensiones, y Trump señaló que la empresa 'está mejorando'.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Coinbase recortará el 14% de su personal por el impacto de la IA y la volatilidad del mercado</w:t>
      </w:r>
    </w:p>
    <w:p>
      <w:pPr>
        <w:spacing w:before="40" w:after="60"/>
        <w:ind w:left="283"/>
      </w:pPr>
      <w:r>
        <w:rPr>
          <w:rFonts w:ascii="Arial" w:hAnsi="Arial"/>
          <w:color w:val="404040"/>
          <w:sz w:val="21"/>
        </w:rPr>
        <w:t>Coinbase anunció el recorte del 14% de su fuerza laboral, citando el impacto de la inteligencia artificial en la productividad —el CEO Brian Armstrong señaló que la IA permite entregar en días lo que antes tomaba semanas a un equipo— y la persistente volatilidad del mercado de criptomonedas. La plataforma, una de las mayores bolsas de criptomonedas del mundo, ha enfrentado dificultades durante el último año por la caída en los precios de los activos digitales y reconoció que su negocio 'sigue siendo volátil de un trimestre a otro'. Las acciones de Coinbase acumulan una baja de 14% en lo que va del año, aunque subieron 4% en las operaciones previas a la apertura tras el anuncio.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Tregua en la cuerda floja: Emiratos Árabes Unidos es atacado por Irán, cuyos barcos fueron blanco de EEUU</w:t>
      </w:r>
    </w:p>
    <w:p>
      <w:pPr>
        <w:spacing w:before="40" w:after="60"/>
        <w:ind w:left="283"/>
      </w:pPr>
      <w:r>
        <w:rPr>
          <w:rFonts w:ascii="Arial" w:hAnsi="Arial"/>
          <w:color w:val="404040"/>
          <w:sz w:val="21"/>
        </w:rPr>
        <w:t>El lunes marcó un día de alta tensión en el conflicto entre EEUU e Irán: fuerzas estadounidenses destruyeron seis embarcaciones iraníes durante el Proyecto Libertad —operación para escoltar barcos con bandera estadounidense fuera del estrecho de Ormuz—, mientras Irán atacó con misiles y drones la terminal petrolera de Fujairah en Emiratos Árabes Unidos, un importante aliado de Washington. El petróleo Brent saltó 6% hasta los US$114 el barril el lunes, aunque se moderó a US$112 el martes ante señales de que la tregua se mantiene y el Pentágono declaró que 'no busca pelear'. El secretario del Tesoro Scott Bessent instó a China a presionar diplomáticamente a Irán para abrir el estrecho, en vísperas de la cumbre entre Trump y el liderazgo chino agendada para el 14 y 15 de mayo.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Gestor de carta de investigadores explica el impacto de descontinuar instrumentos clave de ciencia y formación doctoral</w:t>
      </w:r>
    </w:p>
    <w:p>
      <w:pPr>
        <w:spacing w:before="40" w:after="60"/>
        <w:ind w:left="283"/>
      </w:pPr>
      <w:r>
        <w:rPr>
          <w:rFonts w:ascii="Arial" w:hAnsi="Arial"/>
          <w:color w:val="404040"/>
          <w:sz w:val="21"/>
        </w:rPr>
        <w:t>Más de 520 investigadores firmaron una carta pública alertando sobre la posible descontinuación de programas estratégicos de ciencia en Chile, incluyendo becas de doctorado nacional, la Iniciativa Científica Milenio, los Centros de Excelencia y fondos de publicación científica, en el marco de un oficio de Hacienda para la formulación del Presupuesto 2027. El promotor de la carta, Mauro Basaure, advierte que de concretarse los recortes Chile quedaría con un gasto en ciencia de apenas 0,2-0,3% del PIB, en un país que ya tiene solo 1,1 investigadores por cada mil trabajadores frente a los 9,2 del promedio OCDE. El grupo buscará reunirse con la ministra de Ciencia Ximena Lincolao para conocer la propuesta del ministerio, sin intención de 'discutir' con el gobierno sino de levantar una alerta sobre los mecanismos de financiamiento científico.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¿Qué es la IA física?: La nueva tendencia que marca la agenda de Silicon Valley y China</w:t>
      </w:r>
    </w:p>
    <w:p>
      <w:pPr>
        <w:spacing w:before="40" w:after="60"/>
        <w:ind w:left="283"/>
      </w:pPr>
      <w:r>
        <w:rPr>
          <w:rFonts w:ascii="Arial" w:hAnsi="Arial"/>
          <w:color w:val="404040"/>
          <w:sz w:val="21"/>
        </w:rPr>
        <w:t>La inteligencia artificial física —que combina percepción, razonamiento y ejecución en sistemas con cuerpo capaces de interactuar con el entorno— avanza desde lo experimental hacia despliegues comerciales en minería autónoma, robotaxis, manufactura y logística, aunque aún enfrenta desafíos de seguridad, costos y comprensión del entorno para su masificación. El managing director de BCG en Chile, Julián Herman, señala que la tecnología ya no es experimental pero tampoco masiva, y que el principal desafío es escalarla con consistencia y a costos razonables, dado que los errores en el mundo físico tienen consecuencias reales. El cofundador de Theodora AI, Ricardo Baeza-Yates, advierte que la adopción debe acompañarse de habilitación laboral para los trabajadores desplazados, de lo contrario se generarán problemas sociales mayores a los que busca resolver la tecnología.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Un débil inicio de año</w:t>
      </w:r>
    </w:p>
    <w:p>
      <w:pPr>
        <w:spacing w:before="40" w:after="60"/>
        <w:ind w:left="283"/>
      </w:pPr>
      <w:r>
        <w:rPr>
          <w:rFonts w:ascii="Arial" w:hAnsi="Arial"/>
          <w:color w:val="404040"/>
          <w:sz w:val="21"/>
        </w:rPr>
        <w:t>La editorial señala que la economía chilena registró un complejo inicio de año, con el Imacec de marzo cayendo 0,1% y acumulando una contracción de 0,3% en el primer trimestre —la mayor desde la pandemia de 2020—, en un contexto de inflación acercándose al 4% anual, desempleo en 8,9% y un entorno donde aún no se sienten plenamente los efectos de la guerra en Medio Oriente. La pieza argumenta que esto refuerza la urgencia del plan de reactivación del gobierno, que incluye incentivos fiscales, reducción de permisología y mayor certeza jurídica como herramientas para dinamizar la inversión, citando las declaraciones del gerente general de Arauco sobre las demoras de tramitación ambiental en Chile frente a Brasil. Concluye que el debate debería centrarse en mejorar el proyecto legislativo con contrapropuestas, en lugar de ralentizar su discusión, y que el ajuste de gasto debe calibrarse para no inhibir la inversión pública que también contribuye al crecimiento.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Fin de la franquicia Sence</w:t>
      </w:r>
    </w:p>
    <w:p>
      <w:pPr>
        <w:spacing w:before="40" w:after="60"/>
        <w:ind w:left="283"/>
      </w:pPr>
      <w:r>
        <w:rPr>
          <w:rFonts w:ascii="Arial" w:hAnsi="Arial"/>
          <w:color w:val="404040"/>
          <w:sz w:val="21"/>
        </w:rPr>
        <w:t>La columna defiende la importancia de la franquicia Sence como herramienta de capacitación laboral para grupos históricamente excluidos del mercado del trabajo, incluyendo mujeres emprendedoras, jóvenes, adultos mayores, personas con discapacidad y ex reclusos. El autor reconoce que el instrumento requiere mejoras en focalización, estándares y uso eficiente de recursos, pero advierte que su eliminación sin una alternativa clara generaría incertidumbre sobre cómo se financiará la formación de quienes enfrentan mayores barreras de acceso al empleo. Plantea que el debate debería orientarse a construir un sistema mejor —con participación del Estado, empresas y sociedad civil— y no a eliminar una política pública que sirve a los sectores más vulnerables.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5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