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27 De Julio De 2026</w:t>
      </w:r>
    </w:p>
    <w:p>
      <w:pPr>
        <w:jc w:val="center"/>
      </w:pPr>
      <w:r>
        <w:rPr>
          <w:rFonts w:ascii="Arial" w:hAnsi="Arial"/>
          <w:color w:val="999999"/>
          <w:sz w:val="20"/>
        </w:rPr>
        <w:t>6 secciones  ·  24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IPSA abre al alza y recupera los 11.000 puntos con fuerte impulso de Latam tras pausa de hostilidades en Medio Oriente</w:t>
      </w:r>
    </w:p>
    <w:p>
      <w:pPr>
        <w:spacing w:before="40" w:after="60"/>
        <w:ind w:left="283"/>
      </w:pPr>
      <w:r>
        <w:rPr>
          <w:rFonts w:ascii="Arial" w:hAnsi="Arial"/>
          <w:color w:val="404040"/>
          <w:sz w:val="21"/>
        </w:rPr>
        <w:t>El petróleo Brent caía 6,4% a US$ 90,6 por barril, viendo que EEUU e Irán no intercambiaron fuego este fin de semana. Los reportes señalan que las partes están dándole algo de espacio a las negociaciones de paz. Lacaída del petróleodaba paso a la compra de acciones en todo el mundo este lunes, mientras además los inversionistas se preparan para una semana ajetreada en términos de resultados y política monetaria. El S&amp;P IPSA chileno subía 0,9% a 11.043,77 puntos, encabezado porLatam Airlines (2,7%), que es una de las acciones más ponderadas dentro del índice. Otras de gran peso y sensibles al conflicto en Medio Oriente, comoFalabella (1,5%), contribuían al avance.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Dólar abre a la baja tras alivio de tensiones en Medio Oriente y en semana clave por decisión de la Fed</w:t>
      </w:r>
    </w:p>
    <w:p>
      <w:pPr>
        <w:spacing w:before="40" w:after="60"/>
        <w:ind w:left="283"/>
      </w:pPr>
      <w:r>
        <w:rPr>
          <w:rFonts w:ascii="Arial" w:hAnsi="Arial"/>
          <w:color w:val="404040"/>
          <w:sz w:val="21"/>
        </w:rPr>
        <w:t>El petróleo Brent caía 6,6% a US$ 90,4 el barril, con lo que las principales tasas de interés se relajaban y el dollar index retrocedía 0,1%. Por su parte, el cobre transado en Londres avanzaba 0,9% a US$ 6,25 por libra. Después de dos semanas violentas,la reciente calma en Medio Orienteestá haciendo que los inversionistas vendan dólares este lunes, mientras en paralelo se encuentran a la espera de las decisiones del Banco Central de Chile y de la Reserva Federal (Fed). El dólar-peso, que viene de subir $ 10 la semana pasada yalcanzar máximos de nueve meses,abrió con una caída de $ 4,2 hasta los $ 944,4 en las pantallas de Bloomberg.</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El petróleo Brent se desploma debajo de US$ 90 luego que Irán y EEUU suspenden sus ataques en torno al estrecho de Ormuz</w:t>
      </w:r>
    </w:p>
    <w:p>
      <w:pPr>
        <w:spacing w:before="40" w:after="60"/>
        <w:ind w:left="283"/>
      </w:pPr>
      <w:r>
        <w:rPr>
          <w:rFonts w:ascii="Arial" w:hAnsi="Arial"/>
          <w:color w:val="404040"/>
          <w:sz w:val="21"/>
        </w:rPr>
        <w:t>El referencial del crudo retrocede tras dos semanas de escalada de violencia que habían elevado el precio a más de US$ 100 por barril. Analistas del mercado petrolero advirtieron que de todos modos se debe considerar que el Estrecho de Ormuz aún permanece básicamente cerrado al tráfico comercial. (Foto: Reuters) Los precios del petróleo cayeron hasta un 8% el lunes, ya que Estados Unidos e Iránsuspendieron los ataques recíprocostras semanas de escalada de violencia en torno al estrecho de Ormuz.</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Alianza BICE-Kaufmann aprieta el acelerador en financiamiento automotriz y llega al podio del sector</w:t>
      </w:r>
    </w:p>
    <w:p>
      <w:pPr>
        <w:spacing w:before="40" w:after="60"/>
        <w:ind w:left="283"/>
      </w:pPr>
      <w:r>
        <w:rPr>
          <w:rFonts w:ascii="Arial" w:hAnsi="Arial"/>
          <w:color w:val="404040"/>
          <w:sz w:val="21"/>
        </w:rPr>
        <w:t>BK Servicios Financieros fortaleció su presencia en el segmento personas, diversificó sus fuentes de financiamiento y avanzó en su expansión a Perú. Hace 14 años debutó en el mercado localBK Servicios Financieros, la firma que nació de la alianza entre el holding financiero Bicecorp y la automotriz Kaufmann, cada uno con el 50% de la propiedad. Lo que comenzó como una financiera enfocada principalmente en empresas y PYME hoy tiene un perfil distinto:en cuatro años escaló del sexto al tercer lugar de la industria de financiamiento automotriz y amplió con su presencia en el segmento personas.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Pedro Pizarro, exsubsecretario y vicepresidente de Instituto libertad: “Trataría de evitar lo más posible reabrir la discusión legislativa de la reforma previsional”</w:t>
      </w:r>
    </w:p>
    <w:p>
      <w:pPr>
        <w:spacing w:before="40" w:after="60"/>
        <w:ind w:left="283"/>
      </w:pPr>
      <w:r>
        <w:rPr>
          <w:rFonts w:ascii="Arial" w:hAnsi="Arial"/>
          <w:color w:val="404040"/>
          <w:sz w:val="21"/>
        </w:rPr>
        <w:t>El abogado fue designado por el gobierno para presidir el Consejo Consultivo Previsional. El exsubsecretario de Previsión Social del segundo gobierno del exPresidente Sebastián Piñera, Pedro Pizarro, fue designado recientemente como presidente del Consejo Consultivo Previsional, organismo clave para evaluar el sistema de pensiones solidarias y la Pensión Garantizada Universal (PGU). El también vicepresidente del Instituto Libertad, think thank ligado a RN, se ha mostrado activo -a través de columnas y entrevistas radiales- en la conversación respecto de la implementación de la reforma previsional, de la que es un defensor, por el acuerdo político alcanzado.</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Principales gremios eléctricos unen fuerzas para representar la visión de la industria y buscan reeditar encuentro de la energía</w:t>
      </w:r>
    </w:p>
    <w:p>
      <w:pPr>
        <w:spacing w:before="40" w:after="60"/>
        <w:ind w:left="283"/>
      </w:pPr>
      <w:r>
        <w:rPr>
          <w:rFonts w:ascii="Arial" w:hAnsi="Arial"/>
          <w:color w:val="404040"/>
          <w:sz w:val="21"/>
        </w:rPr>
        <w:t>Generadoras de Chile, Empresas Eléctricas y Transmisoras de Chile ya comenzaron a asistir a reuniones con autoridades en conjunto.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Con ayuda de la IA, Minvu procesa observaciones para definir ajustes y lanzar reforma con la que busca impulsar la industria inmobiliaria</w:t>
      </w:r>
    </w:p>
    <w:p>
      <w:pPr>
        <w:spacing w:before="40" w:after="60"/>
        <w:ind w:left="283"/>
      </w:pPr>
      <w:r>
        <w:rPr>
          <w:rFonts w:ascii="Arial" w:hAnsi="Arial"/>
          <w:color w:val="404040"/>
          <w:sz w:val="21"/>
        </w:rPr>
        <w:t>La propuesta para cambiar el cálculo de habitantes por vivienda generó rechazo masivo entre los participantes de la consulta pública de Modificación a la Ordenanza General de Urbanismo y Construcciones. Advierten riesgos para la autonomía municipal y la calidad de vida. Se contabilizaron 957 registros (entre municipalidades, universidades, gremios, colegios profesionales, organizaciones de la sociedad civil y personas naturales) y cerca de 2 mil páginas con observaciones con opinión técnica. El pasado viernes 24 de julio,finalmente, el Ministerio de Vivienda (Minvu)liberó lo que llamó el “balance del proceso” tras la consulta ciudadana que lanzó la secretaría liderada por Iván Poduje, destinada a modificar la Ordenanza General de Urbanismo y Construcción (OGUC), con lo cual se proyecta una baja de entre 10% y 15% en el precio real de las viviendas nuevas y reactivar el sector inmobiliario.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Falabella, Cencosud y Tottus se suman a plataforma para reciclar basura eléctrónica</w:t>
      </w:r>
    </w:p>
    <w:p>
      <w:pPr>
        <w:spacing w:before="40" w:after="60"/>
        <w:ind w:left="283"/>
      </w:pPr>
      <w:r>
        <w:rPr>
          <w:rFonts w:ascii="Arial" w:hAnsi="Arial"/>
          <w:color w:val="404040"/>
          <w:sz w:val="21"/>
        </w:rPr>
        <w:t>La incorporación de Falabella, Cencosud, Tottus y Duracell elevó a 12 el número de empresas que integran el sistema de gestión Traee, iniciativa impulsada por la Cámara de Comercio de Santiago (CCS) para dar cumplimiento a la Ley de Responsabilidad Extendida del Productor (Ley REP) en aparatos eléctricos, electrónicos y pilas. Sin embargo, el objetivo sigue siendo sumar más empresas para cuando comiencen a regir las metas obligatorias de recolección en 2028. “El gran desafío hoy es llegar a 20 empresas. Bajo ese umbral, el sistema pierde eficiencia y cumplir las metas de la Ley REP se vuelve mucho más complejo y costoso”, afirma la gerenta general de Traee, Romina Reyes. La ejecutiva explica que superar esa barrera no responde a un objetivo comercial, sino al diseño de la regulación. Un sistema con más de 20 empresas puede recolectar cualquier residuo de aparatos eléctricos y electrónicos para acreditar el cumplimiento de las metas legales. En cambio, uno con menos integrantes solo puede contabilizar los residuos de las marcas adheridas, lo que restringe la operación y aumenta sus costos.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Copec, Aguas Andinas, Nuevo Pudahuel y decenas de grandes empresas quedan bajo el nuevo régimen de ciberseguridad</w:t>
      </w:r>
    </w:p>
    <w:p>
      <w:pPr>
        <w:spacing w:before="40" w:after="60"/>
        <w:ind w:left="283"/>
      </w:pPr>
      <w:r>
        <w:rPr>
          <w:rFonts w:ascii="Arial" w:hAnsi="Arial"/>
          <w:color w:val="404040"/>
          <w:sz w:val="21"/>
        </w:rPr>
        <w:t>La Agencia Nacional de Ciberseguridad publicó la nómina definitiva de la segunda etapa de Operadores de Importancia Vital, incorporando por primera vez a empresas de sectores estratégicos como combustibles, sanitarias, transporte, puertos y aeropuertos al régimen especial establecido por la Ley Marco de Ciberseguridad. Entre las compañías calificadas figuran actores relevantes de la economía nacional, como Copec, Abastible, Enex, Aguas Andinas, Latam, SKY, EFE, Nuevo Pudahuel, junto a otras sanitarias, las AFP, isapres, distribuidoras de combustibles, concesionarias aeroportuarias, operadores portuarios y laboratorios. Con esta resolución, las entidades de importancia vital pasarán a estar sujetas al régimen especial contemplado en la Ley Marco de Ciberseguridad, que establece mayores exigencias para la prevención, gestión y reporte de incidentes informáticos. La categoría de Operador de Importancia Vital está reservada para aquellas entidades cuya interrupción producto de un ciberataque podría generar un impacto significativo en la seguridad pública, el funcionamiento del Estado o la continuidad de servicios esenciales para la población. En consecuencia, las empresas deberán implementar sistemas reforzados de gestión de riesgos, informar incidentes relevantes a la ANCI y someterse a un régimen especial de supervisión.</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TDLC autoriza indagar los millonarios bonos de exejecutivos de Dreams, pero blinda sus finanzas personales</w:t>
      </w:r>
    </w:p>
    <w:p>
      <w:pPr>
        <w:spacing w:before="40" w:after="60"/>
        <w:ind w:left="283"/>
      </w:pPr>
      <w:r>
        <w:rPr>
          <w:rFonts w:ascii="Arial" w:hAnsi="Arial"/>
          <w:color w:val="404040"/>
          <w:sz w:val="21"/>
        </w:rPr>
        <w:t>A pedido de la FNE, el Tribunal dio luz verde para que ésta acceda a información relevante para la investigación de colusión entre casinos. El pasado 19 de mayo, la Fiscalía Nacional Económica (FNE) solicitó al Tribunal de Defensa de la Libre Competencia (TDLC) autorizar la exhibición de una serie de documentos asociados a la investigación por colusión que, desde 2022, involucra a altos mandos de las tres mayores operadoras de casinos físicos en el país: Dreams, Enjoy y Marina del Sol. En concreto, la Fiscalía solicitó el acceso a diversos comprobantes de transferencias, cartolas bancarias, liquidaciones de sueldos, finiquitos, balances personales, declaraciones de renta y agendas o calendarios ligados a personas como Claudio Fischer, dueño de Dreams; Jaime Wilhelm, exgerente general de Dreams; Claudio Tessada, exCFO de Dreams; y Henry Comber, expresidente de Enjoy. Esto, además de antecedentes financieros como balances y transferencias de propiedades, entre otros, ligados a Enjoy y Dreams.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Estuardo Ortiz, fundador y CEO de JetSmart: “Tengo claro que este año vamos a crecer menos de lo que hemos pensado. ¿Me preocupa? Para nada”</w:t>
      </w:r>
    </w:p>
    <w:p>
      <w:pPr>
        <w:spacing w:before="40" w:after="60"/>
        <w:ind w:left="283"/>
      </w:pPr>
      <w:r>
        <w:rPr>
          <w:rFonts w:ascii="Arial" w:hAnsi="Arial"/>
          <w:color w:val="404040"/>
          <w:sz w:val="21"/>
        </w:rPr>
        <w:t>En el marco de su aniversario número 10, Estuardo Ortiz aseguró que ven oportunidades de crecimiento en varios de los países donde operan y delineó que proyectan alcanzar los 100 millones de pasajeros transportados para 2028. El pasado 25 de julio la aerolínea chilena JetSmart festejó su cumpleaños número 10. Dicha fecha, no obstante, no marca la salida de su primer vuelo desde Santiago -que tuvo como destino Calama, en julio de 2017-, sino el momento en que sufundador y actual CEO, el guatemalteco Estuardo Ortiz, comenzó a idear y trabajar en lo que hoy denomina como “el efecto JetSmart”, que llegó a irrumpir el mercado con estrategias como vuelos one way o el cobro por maleta por separado.</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MOP retoma análisis de una política nacional de peajes que fijaría una tarifa por kilómetro para la Ruta 5 y vías transversales</w:t>
      </w:r>
    </w:p>
    <w:p>
      <w:pPr>
        <w:spacing w:before="40" w:after="60"/>
        <w:ind w:left="283"/>
      </w:pPr>
      <w:r>
        <w:rPr>
          <w:rFonts w:ascii="Arial" w:hAnsi="Arial"/>
          <w:color w:val="404040"/>
          <w:sz w:val="21"/>
        </w:rPr>
        <w:t>La iniciativa fue analizada en el gobierno anterior y uno de los escenarios modelados proyectó una tarifa cercana a $ 40 por kilómetro en esa carretera. La discusión sobre una eventual rebaja en los peajes podría extenderse más allá de Santiago. Ello, luego de que trascendiera que el Ministerio de Obras Públicas (MOP) evalúa reflotar una política nacional de peajes para la Ruta 5 y las vías transversales. La señal quedó plasmada en el acta de la sesión del 30 de junio del Consejo de Concesiones del MOP, organismo cuyos integrantes fueron recientemente renovados y que hoy es presidido por Marcela Hernández, junto a Sergio Baeriswyl, Rodrigo Álvarez y Rodrigo Delgadillo.</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Más capacitación, reglas claras y un marco ético entran en la hoja de ruta para sacarle partido real a la IA en las empresas</w:t>
      </w:r>
    </w:p>
    <w:p>
      <w:pPr>
        <w:spacing w:before="40" w:after="60"/>
        <w:ind w:left="283"/>
      </w:pPr>
      <w:r>
        <w:rPr>
          <w:rFonts w:ascii="Arial" w:hAnsi="Arial"/>
          <w:color w:val="404040"/>
          <w:sz w:val="21"/>
        </w:rPr>
        <w:t>Ejecutivos, académicos y expertos dieron vida al Consejo de Inteligencia Artificial en el Trabajo, bajo el paraguas de Buk, para idear un camino que le permita a las personas ocupadas subirse al carro. La inteligencia artificial ya está instalada en las empresas chilenas. El desafío ahora es lograr que genere valor. Ese es el principal diagnóstico que emanó del Consejo de IA en el Trabajo, instancia que -impulsada por Buk- reunió a representantes del mundo empresarial, la academia y la consultoría, y que hace unos días presentó una guía con recomendaciones para que las organizaciones avancen hacia una adopción efectiva y responsable de esta tecnología. El punto de partida del documento es una paradoja. Chile lidera por tercer año consecutivo el Índice Latinoamericano de Inteligencia Artificial y más del 80% de las grandes empresas ya utiliza IA de alguna manera. Sin embargo, apenas el 3,6% ha conseguido escalar iniciativas con retornos medibles. Para el consejo, el cuello de botella dejó de estar en la tecnología y ahora se vincula con la forma en que las firmas gestionan el cambio.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Judicialización laboral se dispara: causas en tribunales se triplican en cinco años y tensionan al sistema</w:t>
      </w:r>
    </w:p>
    <w:p>
      <w:pPr>
        <w:spacing w:before="40" w:after="60"/>
        <w:ind w:left="283"/>
      </w:pPr>
      <w:r>
        <w:rPr>
          <w:rFonts w:ascii="Arial" w:hAnsi="Arial"/>
          <w:color w:val="404040"/>
          <w:sz w:val="21"/>
        </w:rPr>
        <w:t>El aumento sería impulsado por una mayor conflictividad, cambios regulatorios y un mercado laboral debilitado. Expertos valoran el tercer juzgado en Santiago, pero advierten que no resolverá el problema de fondo. La justicia laboral está al límite.En apenas cinco años,los ingresos de causas a los juzgados laborales prácticamente se triplicaron, pasando de 35.450 en 2021 a 112.083 en 2025. En paralelo,las demandas por despido injustificado crecieron 262%, hasta 64.287 ingresos, lo que equivale al 57,4% del total y evidencia que este tipo de controversias se ha consolidado como el principal motor de la litigación.</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Mayoría de los almacenes reporta baja en ventas por temporal y la caída se podría acentuar</w:t>
      </w:r>
    </w:p>
    <w:p>
      <w:pPr>
        <w:spacing w:before="40" w:after="60"/>
        <w:ind w:left="283"/>
      </w:pPr>
      <w:r>
        <w:rPr>
          <w:rFonts w:ascii="Arial" w:hAnsi="Arial"/>
          <w:color w:val="404040"/>
          <w:sz w:val="21"/>
        </w:rPr>
        <w:t>Informe de Almacenes Digitales y la CCS muestra que locales de Coquimbo se llevaron la peor parte del impacto por las lluvias. El sistema frontal que golpeó a nueve regiones del país en las últimas dos semanas también tuvo consecuencias en el segmento del comercio pequeño. De acuerdo con un informe elaborado por Almacenes Digitales y la Cámara de Comercio de Santiago (CCS), 69% de dichos establecimientos reportó una disminución en sus ventas o una caída en el flujo de clientes durante los días del temporal. Además, según la encuesta que se realizó a 591 locales de las 16 regiones del país, Coquimbo tuvo la mayor cantidad de afectación, con el 84% que reportó un impacto grave en sus negocios.</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Cambio de mando en Perú: ¿qué economía hereda Keiko Fujimori?</w:t>
      </w:r>
    </w:p>
    <w:p>
      <w:pPr>
        <w:spacing w:before="40" w:after="60"/>
        <w:ind w:left="283"/>
      </w:pPr>
      <w:r>
        <w:rPr>
          <w:rFonts w:ascii="Arial" w:hAnsi="Arial"/>
          <w:color w:val="404040"/>
          <w:sz w:val="21"/>
        </w:rPr>
        <w:t>Estabilidad macroeconómica y margen fiscal acotado marcarán el inicio del nuevo gobierno, según LarrainVial. Scotiabank advierte que El Niño será el principal riesgo de corto plazo. Keiko Fujimorirecibiría este martes una economía peruana con crecimiento, inversión privada dinámica, una deuda pública relativamente baja y cuentas externas fortalecidas.Pero la holgura es más aparente que real. La nueva Presidenta de Perú asumirá concompromisos presupuestarios ya aprobados, demandas acumuladas sobre el Estado y un fenómeno de El Niño que podría elevar simultáneamente la inflación, el gasto de emergencia y las necesidades de reconstrucción.</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Campeón chino de chips CXMT se dispara 466% en su debut bursátil</w:t>
      </w:r>
    </w:p>
    <w:p>
      <w:pPr>
        <w:spacing w:before="40" w:after="60"/>
        <w:ind w:left="283"/>
      </w:pPr>
      <w:r>
        <w:rPr>
          <w:rFonts w:ascii="Arial" w:hAnsi="Arial"/>
          <w:color w:val="404040"/>
          <w:sz w:val="21"/>
        </w:rPr>
        <w:t>El grupo tecnológico se convirtió brevemente en la empresa listada más valiosa de China, en la mayor IPO del territorio continental desde 2010. Las acciones deCXMT se dispararon 466% en su debut bursátilen Shanghái el lunes,convirtiendo brevemente al fabricante de chips en la empresa más valiosa de China, mientras la fiebre por la inteligencia artificial se apoderaba del mercado accionario del país. En una jornada récord de frenéticas transacciones, los inversionistas se apresuraron a apostar por CXMT,el cuarto mayor fabricante mundial de chips de memoria, considerada en China como una prueba del éxito del país en la construcción de su propia cadena de suministro de IA.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Visas H-1B1 de EEUU para chilenos se duplican tras la pandemia y se afianzan como alternativa de desarrollo profesional</w:t>
      </w:r>
    </w:p>
    <w:p>
      <w:pPr>
        <w:spacing w:before="40" w:after="60"/>
        <w:ind w:left="283"/>
      </w:pPr>
      <w:r>
        <w:rPr>
          <w:rFonts w:ascii="Arial" w:hAnsi="Arial"/>
          <w:color w:val="404040"/>
          <w:sz w:val="21"/>
        </w:rPr>
        <w:t>En solo cinco años se concentró casi el 60% de las cerca de 15.200 visas entregadas desde la creación del programa en 2004, en el marco del TLC. Hasta hace poco más de una década, la visa H-1B1 de Estados Unidos era una herramienta escasamente utilizada por los profesionales chilenos. Hasta 2014, este tipo de visado -nuevo o de renovación- no llegaba a 500 al año. El primer salto relevante se produjo tras la pandemia: pasaron de 546 en 2020 a 1.097 en 2021, superaron los 2 mil en 2023 y se mantuvieron sobre ese nivel hasta 2025, de acuerdo con las Estadísticas de Visas de No Inmigrante del Servicio de Ciudadanía e Inmigración de los Estados Unidos (USCIS, por su sigla en inglés).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Récord en la regulación de la IED: 52 países están aplicando screening de inversiones</w:t>
      </w:r>
    </w:p>
    <w:p>
      <w:pPr>
        <w:spacing w:before="40" w:after="60"/>
        <w:ind w:left="283"/>
      </w:pPr>
      <w:r>
        <w:rPr>
          <w:rFonts w:ascii="Arial" w:hAnsi="Arial"/>
          <w:color w:val="404040"/>
          <w:sz w:val="21"/>
        </w:rPr>
        <w:t>Según un reporte de la ONU, en 2016 ese número llegaba solo a 21. En tanto, en 2025 hubo un máximo de 229 medidas de política de inversión, con especial antención al desarrollo de la IA, minerales críticos y energías limpias. La reanudación de hostilidades entre Estados Unidos e Irán, combinado con la carrera por el desarrollo de la inteligencia artificial (IA), ha reavivado las alarmas sobre la vulnerabilidad de las cadenas de suministro globales. Ante este escenario de creciente incertidumbre geopolítica y económica, cada vez más países buscan formas de diversificar sus mercados y resguardar sus recursos estratégicos. Esta necesidad también ha llevado a distintas economías a tomar decisiones respecto de las políticas de Inversión Extranjera Directa (IED). En particular, el screening –un mecanismo de control que permitiría al Estado revisar operaciones de infraestructura crítica– se ha consolidado como una tendencia regulatoria mundial.</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DF Lab Opinión/ Las cobras que criamos sin saberlo</w:t>
      </w:r>
    </w:p>
    <w:p>
      <w:pPr>
        <w:spacing w:before="40" w:after="60"/>
        <w:ind w:left="283"/>
      </w:pPr>
      <w:r>
        <w:rPr>
          <w:rFonts w:ascii="Arial" w:hAnsi="Arial"/>
          <w:color w:val="404040"/>
          <w:sz w:val="21"/>
        </w:rPr>
        <w:t>Análisis del "efecto cobra" en los indicidentes de ciberseguridad asociados al modelo de prueba de inteligencia artificial de OpenAI. Por Patricio Cofré, socio líder de Data e IA de EY Chile Un funcionario colonial revisa el libro de cuentas en su oficina de Delhi, hacia finales del siglo diecinueve. Sobre el escritorio se acumulan recibos, uno por cada piel de cobra entregada a cambio de la recompensa que el gobierno británico fijó para reducir la población de serpientes venenosas en la ciudad. Las cifras suben mes a mes, una señal, piensa el funcionario, de que el programa funciona.Nadie en la oficina sospecha todavía que en los patios traseros de Delhi la gente ha comenzado a criar cobras solo para volver a matarlas y cobrar la recompensa. La meta era clara y legítima. El resultado, cuando se descubra, será exactamente el opuesto al buscado.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China promete responder si EEUU sanciona a sus empresas de IA</w:t>
      </w:r>
    </w:p>
    <w:p>
      <w:pPr>
        <w:spacing w:before="40" w:after="60"/>
        <w:ind w:left="283"/>
      </w:pPr>
      <w:r>
        <w:rPr>
          <w:rFonts w:ascii="Arial" w:hAnsi="Arial"/>
          <w:color w:val="404040"/>
          <w:sz w:val="21"/>
        </w:rPr>
        <w:t>La respuesta de Beijing se produjo tras las acusaciones de Washington sobre un supuesto uso indebido de modelos estadounidenses para desarrollar sistemas rivales de inteligencia artificial. China advirtió que tomará“todas las medidas necesarias”si Estados Unidos avanza en sancionar a empresas chinas de inteligencia artificial (IA) por las acusaciones de queutilizaron de manera indebida modelos estadounidenses para entrenar sus propios sistemas. El Ministerio de Comercio chino criticó el lunes las acusaciones de la administración de Donald Trump de que firmas chinashabrían robado propiedad intelectual de Estados Unidos mediante la técnica de destilación de modelos (model distillation),e instó a Washington a poner fin a lo que calificó como una “campaña de desprestigio” y amenazas de sanciones.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Kathleen Barclay, expresidenta de Endeavor Chile: “Chile nunca va a ser Silicon Valley y no debería serlo”</w:t>
      </w:r>
    </w:p>
    <w:p>
      <w:pPr>
        <w:spacing w:before="40" w:after="60"/>
        <w:ind w:left="283"/>
      </w:pPr>
      <w:r>
        <w:rPr>
          <w:rFonts w:ascii="Arial" w:hAnsi="Arial"/>
          <w:color w:val="404040"/>
          <w:sz w:val="21"/>
        </w:rPr>
        <w:t>Barclay repasó su gestión en Endeavor, realizó un diagnóstico del ecosistema y valoró las señales del gobierno del Presidente Kast en favor del crecimiento. Kathleen Barclay llegó al país en 1982, a los 25 años, para trabajar en la reestructuración de la deuda soberana en el área de créditos corporativos para Latinoamérica del Chase Manhattan Bank, hoy parte de JPMorgan. Y nunca se fue. Más de cuatro décadas después, la estadounidense, nacida en Siracusa, es una de las voces influyentes del mundo empresarial chileno y acaba de cerrar un ciclo como presidenta de Endeavor Chile, cargo que ocupó desde 2023 y que, desde junio pasado, asumió el fundador de ALTO, Jorge Nazer.</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Editorial |27/07/2026</w:t>
      </w:r>
    </w:p>
    <w:p>
      <w:pPr>
        <w:spacing w:after="80"/>
      </w:pPr>
      <w:r>
        <w:rPr>
          <w:rFonts w:ascii="Arial" w:hAnsi="Arial"/>
          <w:i/>
          <w:color w:val="999999"/>
          <w:sz w:val="20"/>
        </w:rPr>
        <w:t>(Sin detalle disponible.)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GOLPE ARANCELARIO</w:t>
      </w:r>
    </w:p>
    <w:p>
      <w:pPr>
        <w:spacing w:before="40" w:after="60"/>
        <w:ind w:left="283"/>
      </w:pPr>
      <w:r>
        <w:rPr>
          <w:rFonts w:ascii="Arial" w:hAnsi="Arial"/>
          <w:color w:val="404040"/>
          <w:sz w:val="21"/>
        </w:rPr>
        <w:t>Desde que asumió el gobierno de José Antonio Kast, Chile ha firmado una serie de instrumentos bilaterales con Estados Unidos, buscando recomponer un vínculo que la administración de Gabriel Boric dejó erosionado. La política exterior explícitamente a favor de la administración de Donald Trump ha quedado de manifiesto con los tres viajes que ha realizado el canciller Pérez Mackenna a EEUU en lo que va del año, en contraste con la ausencia de visitas oficiales a China, otro de nuestros socios comerciales estratégicos. De tal manera, el anuncio arancelario realizado la semana pasada por Washington obliga a sincerar si la apuesta diplomática ha rendido los frutos esperados. La cronología permite dimensionar el alcance del compromiso. Apenas asumió la Presidencia, Kast y el vicesecretario de Estado estadounidense, Christopher Landau, suscribieron una declaración conjunta sobre minerales críticos y tierras raras, que fijó un mecanismo de consultas técnicas para impulsar proyectos, financiamiento y cadenas de suministro conjuntas. Luego, ese marco se amplió con un memorando que abarca trece recursos estratégicos, junto con un aporte de US$ 1 millón en tecnología destinada al combate del crimen organizado. En julio, Chile suscribió en EEUU la Declaración Pax Silica, sobre seguridad de la cadena de suministro e infraestructura de inteligencia artificial, un frente donde los chinos ejercen hoy una posición hegemónica. Más tarde, en una de las últimas visitas del canciller Pérez Mackenna, el secretario de Estado, Marco Rubio, celebró que la relación entre ambos países “nunca ha sido más fuerte”. Ese despliegue, sin embargo, no bastó para que nuestro país fuera eximido de la nueva tanda arancelaria y quedara en el grupo de economías gravadas con la sobretasa más alta (12,5%).Resulta evidente que Chile quedó atrapado en la táctica legal utilizada por Trump para darle continuidad a su estrategia comercial proteccionista. Tras el revés en la Corte Suprema, la Casa Blanca acudió a la Sección 301 de la Ley de Comercio para desarrollar una investigación sobre importaciones de productos elaborados con trabajo forzoso, lo cual le permitió sancionar a otras naciones con tarifas.Varios expertos, nacionales e internacionales, han advertido que la política exterior de Washington, tanto en materia comercial como geopolítica, es de carácter transaccional, no ideológica. Los hechos prueban que están en lo correcto. La afinidad política del trumpismo con Kast no le significó a Chile partir en el piso de 10% con el que EEUU gravó a los países que firmaron sus Acuerdos Comerciales Recíprocos.La salida más rápida para reducir los aranceles a ese nivel sería suscribir esos pactos, tal como lo hizo Argentina. Sin embargo, el asunto para Chile es más complejo, considerando que la base de negociación es el vigente Tratado de Libre Comercio con arancel piso de 0% firmado en 2003, por lo que suscribir uno de estos acuerdos de reciprocidad comercial implicaría renunciar a esa ventaja estructural para aceptar un arancel de 10%.Chile no puede seguir operando bajo la ficción de que basta con alinearse con Washington para asegurar buenos resultados. O ese alineamiento genera beneficios concretos y medibles, o el país debe avanzar con mayor decisión en la diversificación de sus alianzas, en un mundo que busca reducir su dependencia del poder comercial de Estados Unidos.</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27 de julio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