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6 De Mayo De 2026</w:t>
      </w:r>
    </w:p>
    <w:p>
      <w:pPr>
        <w:jc w:val="center"/>
      </w:pPr>
      <w:r>
        <w:rPr>
          <w:rFonts w:ascii="Arial" w:hAnsi="Arial"/>
          <w:color w:val="999999"/>
          <w:sz w:val="20"/>
        </w:rPr>
        <w:t>6 secciones  ·  50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AFP escalan disputa legal con la Super de Pensiones por conformación de directorios y llevan la causa al Tribunal Constitucional</w:t>
      </w:r>
    </w:p>
    <w:p>
      <w:pPr>
        <w:spacing w:before="40" w:after="60"/>
        <w:ind w:left="283"/>
      </w:pPr>
      <w:r>
        <w:rPr>
          <w:rFonts w:ascii="Arial" w:hAnsi="Arial"/>
          <w:color w:val="404040"/>
          <w:sz w:val="21"/>
        </w:rPr>
        <w:t>Las administradoras presentaron a fines de abril un requerimiento en el TC, con el objetivo de impugnar una disposición de la reforma previsional. La solicitud fue acogida a trámite por la primera sala. Un nuevo capítulo sumóla disputa judicial que enfrenta a las AFP con la Superintendencia de Pensiones,por las disposiciones contenidas en la Norma de Carácter General N° 354 que, en enero de 2026, emitió el regulador para incrementar los requisitos para la conformación de directorios y equipos de inversión de las gestoras. Las seis administradoras –menos AFP UNO-,presentaron en febrero un recurso de protección ante la Corte de Apelaciones de Santiago, y ahora decidieron llevar la causa al Tribunal Constitucional (TC), a través de un requerimiento de inaplicabilidad por inconstitucionalidad ingresado el 24 de abril.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Caso Sartor: Toesca amplía querella contra socios y exdirectivos de AGF por financiamiento a proyecto inmobiliario en Miami</w:t>
      </w:r>
    </w:p>
    <w:p>
      <w:pPr>
        <w:spacing w:before="40" w:after="60"/>
        <w:ind w:left="283"/>
      </w:pPr>
      <w:r>
        <w:rPr>
          <w:rFonts w:ascii="Arial" w:hAnsi="Arial"/>
          <w:color w:val="404040"/>
          <w:sz w:val="21"/>
        </w:rPr>
        <w:t>Según la acción legal, fondos de la gestora realizaron préstamos a un desarrollo residencial que “no estuvieron respaldados por garantías reales proporcionales al monto comprometido ni por mecanismos eficaces” para asegurar la recuperación del capital. De la trama también forman parte los empresarios Marcelo Pesce y Victoriano Cerda. La trama delcaso Sartorcontinúa sumando aristas. Al allanamiento del viernesa las dependencias de Azul Azul y a domicilios de Michael Clark y sus sociedades, esta semana se agregó una nueva querella contra exdirectivos y los principales socios de la firma. El martes,Toesca amplió su acción legal contra el principal socio, Pedro Pablo Larraín; los directores de Sartor AGF Miguel León, Mauro Valdés, Óscar Ebel, Michael Clark, Alfredo Harz y Rodrigo Bustamante; y el exCEO Juan Carlos Jorquera.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IPSA sube 2,3% al cierre con impulso de Latam y Falabella, que se disparan tras buenos resultados en medio de posible acuerdo de paz en Medio Oriente</w:t>
      </w:r>
    </w:p>
    <w:p>
      <w:pPr>
        <w:spacing w:before="40" w:after="60"/>
        <w:ind w:left="283"/>
      </w:pPr>
      <w:r>
        <w:rPr>
          <w:rFonts w:ascii="Arial" w:hAnsi="Arial"/>
          <w:color w:val="404040"/>
          <w:sz w:val="21"/>
        </w:rPr>
        <w:t>El grupo de aerolíneas subió 10% en la sesión, después de reportar el trimestre más sólido de su historia, mientras que los números también positivos del minorista lo llevaron a su mayor alza bursátil desde 2022. En Wall Street, los índices batieron nuevos récords con alta demanda por acciones tecnológicas. La bolsa chilena se fue para arriba este miércoles, pues no sóloun posible acuerdo de paz entre Estados Unidos e Iráncatapultó a los índices bursátiles en todo el mundo, sino que también la temporada de resultados del primer trimestre ha avanzado bien entre las principales empresas locales. El S&amp;P IPSA avanzó 2,3% para cerrar en 10.936,58 puntos, revirtiendo por completo las caídas de las dos sesiones anteriores.Los montos transados de acciones nacionales superaron los$ 200 mil millones.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Dólar se hunde $ 15 y cierra próximo a $ 890 por expectativa sobre posible acuerdo de paz entre EEUU e Irán</w:t>
      </w:r>
    </w:p>
    <w:p>
      <w:pPr>
        <w:spacing w:before="40" w:after="60"/>
        <w:ind w:left="283"/>
      </w:pPr>
      <w:r>
        <w:rPr>
          <w:rFonts w:ascii="Arial" w:hAnsi="Arial"/>
          <w:color w:val="404040"/>
          <w:sz w:val="21"/>
        </w:rPr>
        <w:t>El petróleo Brent se desplomaba 7,8% y el cobre Comex se disparaba 3,2%, mientras que el dollar index retrocedía 0,4%. Las noticias llegaron después de que los ministros de Relaciones Exteriores de China e Irán sostuvieran una reunión este miércoles en Beijing. Noticias sobre unmemorando de una páginaimpulsaron fuertes ventas de dólares y ganancias de más de 3% en el precio del cobre este miércoles. Se trata de un acuerdo que podría terminar con más de dos meses de conflicto en el golfo Pérsico. La paridad dólar-peso cayó $ 14,7 hasta los $ 891,9 al cierre de la jornada, y así profundizóel descenso de la víspera, después de que la semana empezara con un fuerte salto en las pantallas de Bloomberg.</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FinteChile da inicio al Fintech Forum 2026 con delegaciones de más de 30 países</w:t>
      </w:r>
    </w:p>
    <w:p>
      <w:pPr>
        <w:spacing w:before="40" w:after="60"/>
        <w:ind w:left="283"/>
      </w:pPr>
      <w:r>
        <w:rPr>
          <w:rFonts w:ascii="Arial" w:hAnsi="Arial"/>
          <w:color w:val="404040"/>
          <w:sz w:val="21"/>
        </w:rPr>
        <w:t>El encuentro se realiza hoy y mañana con más de 6.000 asistentes esperados y una agenda marcada por regulación, inclusión financiera y la exposición de Nubank o Revolut. Con delegaciones de más de 30 países,FinteChiledio inicio este miércoles al "Chile Fintech Forum 2026", encuentro que reunirá durante el 6 y 7 de mayo a actores de la industria financiera, tecnológica y regulatoria para abordar los principales desafíos del ecosistema. El encuentro tendrá a 6.000 asistentes, 90speakersnacionales e internacionales, 70standsy cuatro escenarios simultáneos.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Hacienda pone sus fichas en las fintech: “Son parte de la respuesta al problema de crecimiento que tiene Chile”</w:t>
      </w:r>
    </w:p>
    <w:p>
      <w:pPr>
        <w:spacing w:before="40" w:after="60"/>
        <w:ind w:left="283"/>
      </w:pPr>
      <w:r>
        <w:rPr>
          <w:rFonts w:ascii="Arial" w:hAnsi="Arial"/>
          <w:color w:val="404040"/>
          <w:sz w:val="21"/>
        </w:rPr>
        <w:t>Durante el "Chile Fintech Forum 2026", el subsecretario de Hacienda, Juan Pablo Rodríguez, destacó el rol del ecosistema como motor de crecimiento en medio del debate en el Congreso por la ley miscelánea. El subsecretario de Hacienda, Juan Pablo Rodríguez. Foto: Aton. “Crecimiento económico y futuro” fue el eje de la exposición del subsecretario de Hacienda, Juan Pablo Rodríguez, en el"Chile Fintech Forum 2026"organizado por FinteChile,exposición puso al sector privado y particularmente en la industria fintech en el centro de la estrategia para recuperar el dinamismo de la economía chilena.</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Pensiones: fondo E es el único que retrocede en abril por mal desempeño de la renta fija</w:t>
      </w:r>
    </w:p>
    <w:p>
      <w:pPr>
        <w:spacing w:before="40" w:after="60"/>
        <w:ind w:left="283"/>
      </w:pPr>
      <w:r>
        <w:rPr>
          <w:rFonts w:ascii="Arial" w:hAnsi="Arial"/>
          <w:color w:val="404040"/>
          <w:sz w:val="21"/>
        </w:rPr>
        <w:t>El resto de los selectivos tuvieron un buen resultados, gracias al rendimiento positivo de la renta variable. Todos los fondos de pensiones tuvieron un buen rendimiento en abril,excepto el E,el más conservador del sistema,que registró una baja real de 1,2% en el mes. ¿El motivo? Según informó la Superintendencia de Pensiones, el mal desempeño del selectivo se debió a las pérdidas de inversiones en instrumentos de renta fija, tanto nacional como extranjeros.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Las cifras del crédito informal en Chile: moviliza US$ 4.000 millones al año e involucra a 600 mil personas</w:t>
      </w:r>
    </w:p>
    <w:p>
      <w:pPr>
        <w:spacing w:before="40" w:after="60"/>
        <w:ind w:left="283"/>
      </w:pPr>
      <w:r>
        <w:rPr>
          <w:rFonts w:ascii="Arial" w:hAnsi="Arial"/>
          <w:color w:val="404040"/>
          <w:sz w:val="21"/>
        </w:rPr>
        <w:t>Según un informe de la Asociación de Retail Financiero, el fenómeno también tiene un perjuicio fiscal de US$ 100 millones anuales. Diversos actores de la industria financiera han advertido sobre elaumento del crédito informalen Chile y los peligros asociados a este negocio que no está regulado por la Comisión para el Mercado Financiero (CMF). De acuerdo con un informe de laAsociación de Retail Financiero (ARF), este es un mercado que moviliza cerca de US$ 4.000 millones al año y afecta a más de 600 mil personas. Ello, sin contar que el Estado deja de recibir US$ 100 millones en impuestos por este negocio no regulado.</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Implementación de modelos de riesgos internos de la banca tomaría al menos un año, según experto de PwC</w:t>
      </w:r>
    </w:p>
    <w:p>
      <w:pPr>
        <w:spacing w:before="40" w:after="60"/>
        <w:ind w:left="283"/>
      </w:pPr>
      <w:r>
        <w:rPr>
          <w:rFonts w:ascii="Arial" w:hAnsi="Arial"/>
          <w:color w:val="404040"/>
          <w:sz w:val="21"/>
        </w:rPr>
        <w:t>Según socio de riesgo y regulación financiera de la firma, Luis Figueroa, el ahorro de capital de los bancos sería más bajo que los US$ 10 mil millones que proyectó la CMF. A mediados de abril, lanueva presidenta de la Comisión para el Mercado Financiero (CMF), Catherine Tornel,informó que la institución impulsará el desarrollo demodelos internos para la medición del riesgo de crédito bancario, según está establecido en Basilea III. De esta forma, si los bancos chilenos así lo deciden, podríantransitar desde el actual modelo estandarizado hacia un esquema propio, validado previamente por el regulador.</w:t>
      </w:r>
    </w:p>
    <w:p>
      <w:pPr>
        <w:pBdr>
          <w:bottom w:val="single" w:sz="4" w:space="1" w:color="BDD7EE"/>
        </w:pBdr>
        <w:spacing w:before="80" w:after="80"/>
      </w:pPr>
    </w:p>
    <w:p>
      <w:pPr>
        <w:pStyle w:val="Heading2"/>
        <w:spacing w:before="200" w:after="80"/>
      </w:pPr>
      <w:r>
        <w:rPr>
          <w:rFonts w:ascii="Arial" w:hAnsi="Arial"/>
          <w:b/>
          <w:color w:val="2E75B6"/>
          <w:sz w:val="22"/>
        </w:rPr>
        <w:t xml:space="preserve">10.  </w:t>
      </w:r>
      <w:r>
        <w:rPr>
          <w:rFonts w:ascii="Arial" w:hAnsi="Arial"/>
          <w:b/>
          <w:color w:val="1F4E79"/>
          <w:sz w:val="22"/>
        </w:rPr>
        <w:t>AFP protagonizan juntas de accionistas 2026: lograron elegir a 28 directores para 21 empresas</w:t>
      </w:r>
    </w:p>
    <w:p>
      <w:pPr>
        <w:spacing w:before="40" w:after="60"/>
        <w:ind w:left="283"/>
      </w:pPr>
      <w:r>
        <w:rPr>
          <w:rFonts w:ascii="Arial" w:hAnsi="Arial"/>
          <w:color w:val="404040"/>
          <w:sz w:val="21"/>
        </w:rPr>
        <w:t>Las administradoras sacaron cuentas alegres del proceso, ya que lograron incorporar a nuevos representantes en firmas como Parque Arauco, Santander y Latam Airlines. Carolina Schmidt nueva directora independiente en Falabella. Juan Benavides Nuevo director independiente en Banco Santander. Pilar lamana nueva directora independiente en Parque Arauco. La semana pasada se cerró el período de juntas ordinarias de accionistas 2026 y las AFP fueron protagonistas en varias de estas asambleas.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Canales de televisión se suman a arremetida contra Google: acusan abuso de posición dominante</w:t>
      </w:r>
    </w:p>
    <w:p>
      <w:pPr>
        <w:spacing w:before="40" w:after="60"/>
        <w:ind w:left="283"/>
      </w:pPr>
      <w:r>
        <w:rPr>
          <w:rFonts w:ascii="Arial" w:hAnsi="Arial"/>
          <w:color w:val="404040"/>
          <w:sz w:val="21"/>
        </w:rPr>
        <w:t>En conversación con DF, el presidente de Anatel, Pablo Vidal, explicó que la medida sigue los pasos de Copesa, pero con matices. De izq. a der.: la directora ejecutiva de TVN, Susana García; el presidente de Anatel, Pablo Vidal, y el director ejecutivo de Canal 13, Cristián Ñúnez. Foto: Julio Castro. Hasta las dependencias de la Asociación Nacional de Televisión (Anatel) llegaron este miércoles los principales ejecutivos de canales televisivos, para hacer público el ingreso de una demanda ante el Tribunal de la Libre Competencia (TDLC) en contra de Alphabet, casa matriz de Google.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Arauco profundiza pérdidas y disminuye ingresos en el primer trimestre</w:t>
      </w:r>
    </w:p>
    <w:p>
      <w:pPr>
        <w:spacing w:before="40" w:after="60"/>
        <w:ind w:left="283"/>
      </w:pPr>
      <w:r>
        <w:rPr>
          <w:rFonts w:ascii="Arial" w:hAnsi="Arial"/>
          <w:color w:val="404040"/>
          <w:sz w:val="21"/>
        </w:rPr>
        <w:t>Los ingresos del sector celulosa se contrajeron un 3,4% en términos interanuales, mientras que los de la división de productos de madera cayeron un 2,9%. La forestal Arauco, del grupo Angelini, anunció el miércoles pérdidas por US$ 49,4 millones en el primer trimestre, un 86,5% más profundas que el saldo negativo por US$ 26,5 millones que registró en los primeros tres meses del año pasado. El resultado también representa una disminución de US$100,6 millones en comparación con la ganancia de US$51,2 millones del cuarto trimestre de 2025,  "principalmente auna reducción en otros ingresosrelacionados con las ganancias por la valoración de activos biológicos en el cuarto trimestre de 2025, un aumento en otros gastos y una menor utilidad operativa de nuestra división de Productos de Madera".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CCU reduce sus utilidades y advierte complejo escenario en Argentina</w:t>
      </w:r>
    </w:p>
    <w:p>
      <w:pPr>
        <w:spacing w:before="40" w:after="60"/>
        <w:ind w:left="283"/>
      </w:pPr>
      <w:r>
        <w:rPr>
          <w:rFonts w:ascii="Arial" w:hAnsi="Arial"/>
          <w:color w:val="404040"/>
          <w:sz w:val="21"/>
        </w:rPr>
        <w:t>En cuanto a sus ingresos por ventas, la compañía registró un leve crecimiento del 0,2%. Un resultado sólido en Chile, pero un consumo debilitado en Argentina junto con un contexto “particularmente difícil en el negocio del vino”. Así describió la Compañía de Cervecerías Unidas (CCU) su primer trimestre de 2026. En sus resultados presentados este miércoles ante la Comisión para el Mercado Financiero (CMF), la compañía parte del holding de Quiñenco registróingresos por ventas apenas un 0,2% mayores a los registrados en 2025, alcanzando los $ 819.515 millones. Su Ebitda, en tanto, también registró un leve crecimiento del 0,1%, con $ 131.644 millones respecto del 2025 ($ 131.554 millones).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Cenco Malls aumenta en 54,3% sus utilidades aunque reporta baja en ventas de locatarios</w:t>
      </w:r>
    </w:p>
    <w:p>
      <w:pPr>
        <w:spacing w:before="40" w:after="60"/>
        <w:ind w:left="283"/>
      </w:pPr>
      <w:r>
        <w:rPr>
          <w:rFonts w:ascii="Arial" w:hAnsi="Arial"/>
          <w:color w:val="404040"/>
          <w:sz w:val="21"/>
        </w:rPr>
        <w:t>El buen resultado del trimestre se explica por una mayor valorización de los activos de la compañía y un mejor desempeño operacional. En un entorno global desafiante, nuestro negocio de centros comerciales mostró resiliencia, con crecimiento en visitas en los tres países donde operamos, reflejando la solidez de nuestros activos y nuestra atractiva propuesta comercial”. Esas fueron las palabras con las queSebastián Bellocchio, CEO Cenco Malls,describió el desempeño del primer trimestre de la firma parte del holding Cencosud. La compañía reportó un aumento del 54,3% en utilidades, alcanzando los $ 93.279 millones. Entre los motivos, Cenco Malls detalló que fue producto de “a una mejora en la valorización de los activos de la compañía,un mejor desempeño operacional y una favorable evolución del resultado no operacional del trimestre”.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Industria minera activa plan de 600 becas en Antofagasta para cubrir los 25 mil empleos que necesitará a 2030</w:t>
      </w:r>
    </w:p>
    <w:p>
      <w:pPr>
        <w:spacing w:before="40" w:after="60"/>
        <w:ind w:left="283"/>
      </w:pPr>
      <w:r>
        <w:rPr>
          <w:rFonts w:ascii="Arial" w:hAnsi="Arial"/>
          <w:color w:val="404040"/>
          <w:sz w:val="21"/>
        </w:rPr>
        <w:t>La iniciativa Conecta Norte, impulsada por BHP Foundation, Fundación País Digital y Desafío Latam, apunta a cubrir parte del déficit de capital humano que enfrenta la minería en áreas como automatización, análisis de datos y operación tecnológica. La industria minera enfrenta una presión creciente porfalta de capital humano especializado. La necesidad de avanzar hacia operaciones más automatizadas y digitales elevó la demanda por perfiles técnicos, al punto que elsector proyecta requerir 25 mil trabajadores a 2030. En ese escenario, empresas mineras, organismos públicos y entidades educacionales comenzaron a acelerar programas de formación en Antofagasta. Uno de ellos esConecta Norte, iniciativa que esta semana anunció 600 becas para jóvenes entre 17 y 20 años, enfocadas en capacitación para operaciones digitales, mantenimiento, seguridad y cultura minera.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Clínica Costanera de Valdivia invierte US$ 15 millones en infraestructura para fortalecer sus prestaciones de tratamiento y cuidado oncológico</w:t>
      </w:r>
    </w:p>
    <w:p>
      <w:pPr>
        <w:spacing w:before="40" w:after="60"/>
        <w:ind w:left="283"/>
      </w:pPr>
      <w:r>
        <w:rPr>
          <w:rFonts w:ascii="Arial" w:hAnsi="Arial"/>
          <w:color w:val="404040"/>
          <w:sz w:val="21"/>
        </w:rPr>
        <w:t>La apertura de esta nueva área está proyectada para enero de 2027 y busca entregar atención especializada integral para pacientes que hoy deben recurrir a Santiago por cuidados médicos. LaClínica Costanera de Valdiviaoficializó la aceleración de su plan de expansión institucional mediante unainversión privada de US$ 15 millonesdestinada a la construcción del proyecto “Ribera”. La iniciativa, que presenta actualmente un avance de 37% en su infraestructura, busca absorber la demanda detratamientos oncológicos de alta complejidadpara pacientes residentes entre las regiones de La Araucanía y Magallanes, en un contexto nacional donde las listas de espera en esta especialidad superan las 27 mil personas.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YPFB invertirá US$ 9,8 millones en la Zona Portuaria de Arica para fortalecer las importaciones de combustibles de Bolivia</w:t>
      </w:r>
    </w:p>
    <w:p>
      <w:pPr>
        <w:spacing w:before="40" w:after="60"/>
        <w:ind w:left="283"/>
      </w:pPr>
      <w:r>
        <w:rPr>
          <w:rFonts w:ascii="Arial" w:hAnsi="Arial"/>
          <w:color w:val="404040"/>
          <w:sz w:val="21"/>
        </w:rPr>
        <w:t>La estatal boliviana invertirá este año cerca de US$ 50 millones en infraestructura para el transporte de hidrocarburos, de los cuales casi 20% irá al terminal Sica Sica, en Arica, y al proyecto Reversa Ossa 2, clave para el abastecimiento energético boliviano. La petrolera estatal boliviana Yacimientos Petrolíferos Fiscales Bolivianos (YPFB) anunció una inversión de US$ 9,8 millones en la Zona Portuaria de Arica, donde opera la terminal Sica Sica, instalación estratégica para la importación de crudo y combustibles hacia Bolivia. El anuncio fue realizado por elgerente general de YPFB Transporte, Óscar Guzmán, quien detalló que los recursos estarán enfocados principalmente en elproyecto Reversa Ossa 2, iniciativa que conecta mediante un oleoducto la terminal marítima de Arica con la localidad boliviana de Charaña.</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“Chile puede y debe ser una potencia acuícola”: el mensaje del biministro Mas ante la industria salmonera</w:t>
      </w:r>
    </w:p>
    <w:p>
      <w:pPr>
        <w:spacing w:before="40" w:after="60"/>
        <w:ind w:left="283"/>
      </w:pPr>
      <w:r>
        <w:rPr>
          <w:rFonts w:ascii="Arial" w:hAnsi="Arial"/>
          <w:color w:val="404040"/>
          <w:sz w:val="21"/>
        </w:rPr>
        <w:t>En el SalmonChile Summit 2026, el biministro Daniel Mas, justificó además el retiro del proyecto de ley de pesca impulsado en la administración anterior, al que calificó como “ideológico y refundacional”. Ante más de 1.000 asistentes reunidos en el Teatro del Lago de Frutillar, el biministro de Economía y Minería,Daniel Mas, aprovechó su paso por una nueva edición del SalmonChile Summit 2026 para entregar una señal directa a la industria salmonera. En su intervención, el secretario de Estado reafirmó el foco del gobierno en destrabar inversiones y dar un nuevo impulso al sector acuícola, insistiendo en la necesidad de dejar atrás el estancamiento económico, la incertidumbre y la falta de certezas jurídicas que, a su juicio, han frenado el desarrollo de la actividad en los últimos años.</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Colbún presenta plan de mitigación ambiental para el lago Chapo que garantiza continuidad operativa de la central Canutillar</w:t>
      </w:r>
    </w:p>
    <w:p>
      <w:pPr>
        <w:spacing w:before="40" w:after="60"/>
        <w:ind w:left="283"/>
      </w:pPr>
      <w:r>
        <w:rPr>
          <w:rFonts w:ascii="Arial" w:hAnsi="Arial"/>
          <w:color w:val="404040"/>
          <w:sz w:val="21"/>
        </w:rPr>
        <w:t>Tras el inédito fallo de la Corte Suprema por daño ambiental en el entorno lacustre, la generadora deberá ingresar las operaciones de la hidroeléctrica en Cochamó de forma retroactiva a la evaluación del SEIA. La empresa generadoraColbún S.A.presentó ante elConsejo Regional de Los Lagos su Plan de Reparación por Daño Ambiental para el ecosistema del lago Chapo.La iniciativa, que se encuentra en etapa de elaboración y debe ser aprobada por elTercer Tribunal Ambiental, está orientada amitigar los impactos derivados de la operación de la Central Hidroeléctrica Canutillar. Su formulación preliminar responde a un proceso legal iniciado 2022 tras una demanda y que en enero de 2026, enfrenta la ratificación de laCorte Supremadel fallo que previamente había entregado elTercer Tribunal Ambiental,que responsabilizó a la empresa por el deterioro del entorno, producto de las operaciones de la central que provocaron "fluctuaciones perjudiciales en el ecosistema".</w:t>
      </w:r>
    </w:p>
    <w:p>
      <w:pPr>
        <w:pBdr>
          <w:bottom w:val="single" w:sz="4" w:space="1" w:color="BDD7EE"/>
        </w:pBdr>
        <w:spacing w:before="80" w:after="80"/>
      </w:pPr>
    </w:p>
    <w:p>
      <w:pPr>
        <w:pStyle w:val="Heading2"/>
        <w:spacing w:before="200" w:after="80"/>
      </w:pPr>
      <w:r>
        <w:rPr>
          <w:rFonts w:ascii="Arial" w:hAnsi="Arial"/>
          <w:b/>
          <w:color w:val="2E75B6"/>
          <w:sz w:val="22"/>
        </w:rPr>
        <w:t xml:space="preserve">10.  </w:t>
      </w:r>
      <w:r>
        <w:rPr>
          <w:rFonts w:ascii="Arial" w:hAnsi="Arial"/>
          <w:b/>
          <w:color w:val="1F4E79"/>
          <w:sz w:val="22"/>
        </w:rPr>
        <w:t>Autoridad ambiental aprueba Línea 8 del Metro que involucra US$ 1.900 millones de inversión</w:t>
      </w:r>
    </w:p>
    <w:p>
      <w:pPr>
        <w:spacing w:before="40" w:after="60"/>
        <w:ind w:left="283"/>
      </w:pPr>
      <w:r>
        <w:rPr>
          <w:rFonts w:ascii="Arial" w:hAnsi="Arial"/>
          <w:color w:val="404040"/>
          <w:sz w:val="21"/>
        </w:rPr>
        <w:t>La Comisión de Evaluación Ambiental (Coeva) de la Región Metropolitana dio luz verde a la obra que venía con recomendación favorable. Por unanimidad, la mañana de este miércolesla Comisión de Evaluación Ambiental (Coeva) de la Región Metropolitana aprobó la Línea 8 del Metro de Santiago, iniciativa que involucra una inversión de US$ 1.900 millones. La obra consiste en la construcción y operación de la nueva Línea 8 del Metro de Santiago, beneficiando a una población estimada de 1,9 millones de habitantes. Este trazado considera una longitud aproximada de 18,5 kilómetros.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Vuelco en acuerdo del PDG: diputados anuncian rechazo al proyecto de reactivación del gobierno</w:t>
      </w:r>
    </w:p>
    <w:p>
      <w:pPr>
        <w:spacing w:before="40" w:after="60"/>
        <w:ind w:left="283"/>
      </w:pPr>
      <w:r>
        <w:rPr>
          <w:rFonts w:ascii="Arial" w:hAnsi="Arial"/>
          <w:color w:val="404040"/>
          <w:sz w:val="21"/>
        </w:rPr>
        <w:t>La propuesta de iniciativa paralela del Ejecutivo no cumple con lo que se había conversado, explicaron los parlamentarios. “Se cae el acuerdo, porque no nos entregan un proyecto que está a la altura de lo que nosotros habíamos acordado y conversado”,fue el anuncio que realizóla bancada del Partido de la Gente (PDG)la noche de este miércoles en el Congreso Nacional, en relación con el proyecto de reactivación económica. Los diputados explicaron que la oferta del gobierno no se corresponde con lo que la bancada había acordado con el Ejecutivo,en cuanto a la devolución del IVA para los medicamentos y pañales, por lo que el PDG rechazaría la idea de legislar mañana jueves en la Comisión de Hacienda de la Cámara.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Algo de alivio al bolsillo: tras histórica alza de marzo, el diésel bajará $ 47 esta semana</w:t>
      </w:r>
    </w:p>
    <w:p>
      <w:pPr>
        <w:spacing w:before="40" w:after="60"/>
        <w:ind w:left="283"/>
      </w:pPr>
      <w:r>
        <w:rPr>
          <w:rFonts w:ascii="Arial" w:hAnsi="Arial"/>
          <w:color w:val="404040"/>
          <w:sz w:val="21"/>
        </w:rPr>
        <w:t>De acuerdo con lo informado por ENAP, el precio de las bencinas se mantendrá en lo que viene. Analistas ven en el ajuste del Mepco una decisión del gobierno para contener nuevos aumentos. Finalmente, el bolsillo de los automovilistas va a tener algún alivio durante esta semana. De acuerdo con lo informado porla Empresa Nacional de Petróleo (ENAP), el diésel experimentará una reducción de su precio de hasta $47,3 por litro a partir de este jueves.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Coincidencia "maciza" en medidas pro crecimiento: Quiroz entrega sus primeras reacciones ante las observaciones del CFA al proyecto de reactivación</w:t>
      </w:r>
    </w:p>
    <w:p>
      <w:pPr>
        <w:spacing w:before="40" w:after="60"/>
        <w:ind w:left="283"/>
      </w:pPr>
      <w:r>
        <w:rPr>
          <w:rFonts w:ascii="Arial" w:hAnsi="Arial"/>
          <w:color w:val="404040"/>
          <w:sz w:val="21"/>
        </w:rPr>
        <w:t>El ministro de Hacienda recalcó que este jueves un equipo de la Dipres abordará en detalle los nueve riesgos detectados por el organismo. Una primera reacción entregó la noche de este miércoles el ministro de Hacienda, Jorge Quiroz, ante el informe presentado este martes por el Consejo Fiscal Autónomo (CFA) ante la comisión de Hacienda de la Cámara de Diputados, en el que si bien valoró algunos aspectos del proyecto de ley de reconstrucción y reactivación -como las medidas procrecimiento y las de mayor eficiencia en el gasto público- también levantó alertas por el eventual impacto fiscal de la iniciativa. En un comunicado de prensa, Quiroz se enfocó en lo que considera los "amplios puntos de coincidencia" que el organismo comparte con el Gobierno respecto del citado proyecto.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Reactivación económica: oposición gestiona articulación amplia desde la DC al PC y anuncia rechazo al proyecto</w:t>
      </w:r>
    </w:p>
    <w:p>
      <w:pPr>
        <w:spacing w:before="40" w:after="60"/>
        <w:ind w:left="283"/>
      </w:pPr>
      <w:r>
        <w:rPr>
          <w:rFonts w:ascii="Arial" w:hAnsi="Arial"/>
          <w:color w:val="404040"/>
          <w:sz w:val="21"/>
        </w:rPr>
        <w:t>La timonel socialista, senadora Paulina Vodanovic, exigió al Ejecutivo que retire la urgencia a la iniciativa. “Desde la Democracia Cristiana (DC) hasta el Partido Comunista (PC), todos nuestros diputados votarán en contra, en general, la idea de legislar”el proyecto de reactivación económica del gobierno. Ese fue el anuncio que hizo este miércoles la presidenta del Partido Socialista (PS), senadora Paulina Vodanovic, en la Cámara de Diputados, flanqueada por dirigentes de los partidos mencionados, más el Frente Amplio (FA), el PPD y el Partido Liberal (PL); y por parlamentarios opositores.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Carolina Parada renuncia a la secretaría ejecutiva del Plan de Fortalecimiento Industrial del Biobío y será reemplazada por el seremi de Economía, Christian Cifuentes</w:t>
      </w:r>
    </w:p>
    <w:p>
      <w:pPr>
        <w:spacing w:before="40" w:after="60"/>
        <w:ind w:left="283"/>
      </w:pPr>
      <w:r>
        <w:rPr>
          <w:rFonts w:ascii="Arial" w:hAnsi="Arial"/>
          <w:color w:val="404040"/>
          <w:sz w:val="21"/>
        </w:rPr>
        <w:t>Desde el gobierno se informó que la decisión marca el inicio de “una nueva etapa” para el plan, que busca hacer frente al impacto del cese de operaciones de la Planta Siderúrgica de Huachipato, en 2024. El biministro de Economía y Minería, Daniel Mas, destacó que Biobío es fundamental para desatar el potencial económico de Chile. Elbiministro de Economía y Minería, Daniel Mas, aceptó este miércoles la renuncia de la secretaria ejecutiva del Plan de Fortalecimiento Industrial del Biobío, Carolina Parada. A partir de este mes, la conducción de esta instancia estratégica quedará en manos delseremi de Economía de la región, Christian Cifuentes,quien trabajará en coordinación directa con eldelegado presidencial regional, Julio Anativia. La periodista había asumido el liderazgo de esta institucionalidad inédita en el país, desde la implementación del plan. La gobernanza creada especialmente para su ejecución permitió eltrabajo coordinado y conjunto entre empresarios, gremios productivos, autoridades y representantes de los trabajadores.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Actividad portuaria del Biobío retrocede en marzo: carga movilizada se contrae 3,5%</w:t>
      </w:r>
    </w:p>
    <w:p>
      <w:pPr>
        <w:spacing w:before="40" w:after="60"/>
        <w:ind w:left="283"/>
      </w:pPr>
      <w:r>
        <w:rPr>
          <w:rFonts w:ascii="Arial" w:hAnsi="Arial"/>
          <w:color w:val="404040"/>
          <w:sz w:val="21"/>
        </w:rPr>
        <w:t>La caída, que rompe la tendencia de crecimiento de los dos primeros meses del año, responde principalmente a la baja de 10,2% en el servicio de carga embarcada. Pese a ello, la región cierra el primer trimestre con un crecimiento acumulado de 4,3%. La carga total movilizada por losterminales portuarios de la Región del Biobío registró una contracción interanual de 3,5% en marzo, al totalizar 2.162.060 toneladas. Según el último Boletín delInstituto Nacional de Estadísticas (INE), este resultado rompe la tendencia de crecimiento de los dos primeros meses del año y responde, fundamentalmente, debido al comportamiento negativo del servicio de carga embarcada al exterior, queexperimentó una caída de 10,2% en doce meses, tras movilizar poco más de 1 millón de toneladas. La carga embarcada desde los puertos del Biobío representa 50,7% de la operación total de la región.</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Kast valora observaciones del CFA, pero descarta frenar proyecto de reactivación: “Vamos a mantener la urgencia”</w:t>
      </w:r>
    </w:p>
    <w:p>
      <w:pPr>
        <w:spacing w:before="40" w:after="60"/>
        <w:ind w:left="283"/>
      </w:pPr>
      <w:r>
        <w:rPr>
          <w:rFonts w:ascii="Arial" w:hAnsi="Arial"/>
          <w:color w:val="404040"/>
          <w:sz w:val="21"/>
        </w:rPr>
        <w:t>El mandatario sostuvo que “hay un debate parlamentario en las comisiones, tengan las indicaciones, porque sobre las indicaciones se vota y democráticamente se decide”. Luego de participar en la cumbre del Salmón 2026 en Frutillar,el Presidente de la República, José Antonio Kast, se refirió a lasalertas levantadas por el Consejo Fiscal Autónomo (CFA)respecto al proyecto de ley de reactivacióny reconstrucción que impulsa La Moneda,ydescartó detener el trámite del proyecto o retirar la suma urgencia a la normativa, que será votada en general este jueves en la comisión de Hacienda de la Cámara de Diputados. Sobre el informe, Kast sostuvo que“ahora el ministro de Hacienda va a plantear sus opiniones, como corresponde” y sostuvo que “el Consejo Fiscal Autónomo ha hecho siempre informes que nosotros valoramos. Este también lo valoramos para mejorar, pero lo que no vamos a hacer es detener el avance para que Chile vuelva a crecer y este proyecto es importante para el desarrollo y crecimiento en Chile”.</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Proyecto de reactivación económica: invariabilidad tributaria sortea su primera valla en la Cámara</w:t>
      </w:r>
    </w:p>
    <w:p>
      <w:pPr>
        <w:spacing w:before="40" w:after="60"/>
        <w:ind w:left="283"/>
      </w:pPr>
      <w:r>
        <w:rPr>
          <w:rFonts w:ascii="Arial" w:hAnsi="Arial"/>
          <w:color w:val="404040"/>
          <w:sz w:val="21"/>
        </w:rPr>
        <w:t>El informe de la Secretaría de la corporación recomendó la admisibilidad del artículo que contempla el establecimiento del mecanismo por un plazo de 25 años. Después de más de una semana de espera, la Secretaría de la Cámara evacuó el informe comprometido respecto de la constitucionalidad del artículo 33 del proyecto de reactivación económica del gobierno, que propone establecer el mecanismo de la invariabilidad tributaria para atraer inversión por un plazo de 25 años.La instancia recomienda a la Presidencia de la corporación la “admisibilidad” de la iniciativa que ya esta siendo tramitada en la Comisión de Hacienda. En el curso de las 20 carillas que contiene el documento, se concluye, entre otras cosas, quela facultad de declarar la inadmisibilidad de un proyecto de ley es una potestad-deber de la Presidencia de la Cámara de Diputados, fundada en la Constitución Política, en la Ley Orgánica Constitucional del Congreso Nacionaly en el Reglamento de esta Cámara, que tiene por objeto cautelar el respeto a las reglas constitucionales de iniciativa legislativa, ideas matrices y requisitos formales del proceso legislativo.</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Valdés alerta que “el déficit fiscal fue peor de lo que se esperaba” en el mundo pese al mayor crecimiento en 2025</w:t>
      </w:r>
    </w:p>
    <w:p>
      <w:pPr>
        <w:spacing w:before="40" w:after="60"/>
        <w:ind w:left="283"/>
      </w:pPr>
      <w:r>
        <w:rPr>
          <w:rFonts w:ascii="Arial" w:hAnsi="Arial"/>
          <w:color w:val="404040"/>
          <w:sz w:val="21"/>
        </w:rPr>
        <w:t>La brecha fiscal apunta a un empeoramiento debido a un mayor gasto, impuestos más bajos y tasas de interés elevadas. Rodrigo Valdés, director del Departamento de Asuntos Fiscales del FMI en el Seminario Fiscal Regional de la CEPAL A pesar de que el crecimiento mundial alcanzó el 3,4% en 2025 de acuerdo con datos del Fondo Monetario Internacional (FMI), la deuda fiscal sigue levantando alertas en un panorama agitado por la guerra arancelaria y el conflicto en Medio Oriente.</w:t>
      </w:r>
    </w:p>
    <w:p>
      <w:pPr>
        <w:pBdr>
          <w:bottom w:val="single" w:sz="4" w:space="1" w:color="BDD7EE"/>
        </w:pBdr>
        <w:spacing w:before="80" w:after="80"/>
      </w:pPr>
    </w:p>
    <w:p>
      <w:pPr>
        <w:pStyle w:val="Heading2"/>
        <w:spacing w:before="200" w:after="80"/>
      </w:pPr>
      <w:r>
        <w:rPr>
          <w:rFonts w:ascii="Arial" w:hAnsi="Arial"/>
          <w:b/>
          <w:color w:val="2E75B6"/>
          <w:sz w:val="22"/>
        </w:rPr>
        <w:t xml:space="preserve">10.  </w:t>
      </w:r>
      <w:r>
        <w:rPr>
          <w:rFonts w:ascii="Arial" w:hAnsi="Arial"/>
          <w:b/>
          <w:color w:val="1F4E79"/>
          <w:sz w:val="22"/>
        </w:rPr>
        <w:t>Gobierno se abre a mejorar propuesta de ajuste al salario mínimo</w:t>
      </w:r>
    </w:p>
    <w:p>
      <w:pPr>
        <w:spacing w:before="40" w:after="60"/>
        <w:ind w:left="283"/>
      </w:pPr>
      <w:r>
        <w:rPr>
          <w:rFonts w:ascii="Arial" w:hAnsi="Arial"/>
          <w:color w:val="404040"/>
          <w:sz w:val="21"/>
        </w:rPr>
        <w:t>Pese a la apertura al diálogo, desde el Ejecutivo destacaron que la propuesta es responsable con el escenario económico y el estado del mercado laboral. Los ministros Quiroz y Rau presentaron el proyecto. Foto: Aton. Abierto al diálogo y a evaluar cambios a la propuesta de incremento de salario mínimo se mostró este martes el ministro de Hacienda, Jorge Quiroz, ante la comisión de Trabajo de la Cámara de Diputados, la cual inició la discusión de la propuesta.</w:t>
      </w:r>
    </w:p>
    <w:p>
      <w:pPr>
        <w:pBdr>
          <w:bottom w:val="single" w:sz="4" w:space="1" w:color="BDD7EE"/>
        </w:pBdr>
        <w:spacing w:before="80" w:after="80"/>
      </w:pPr>
    </w:p>
    <w:p>
      <w:pPr>
        <w:pStyle w:val="Heading2"/>
        <w:spacing w:before="200" w:after="80"/>
      </w:pPr>
      <w:r>
        <w:rPr>
          <w:rFonts w:ascii="Arial" w:hAnsi="Arial"/>
          <w:b/>
          <w:color w:val="2E75B6"/>
          <w:sz w:val="22"/>
        </w:rPr>
        <w:t xml:space="preserve">11.  </w:t>
      </w:r>
      <w:r>
        <w:rPr>
          <w:rFonts w:ascii="Arial" w:hAnsi="Arial"/>
          <w:b/>
          <w:color w:val="1F4E79"/>
          <w:sz w:val="22"/>
        </w:rPr>
        <w:t>Entidades de capacitación rechazan críticas en medio de fin a franquicia Sence y gremios empresariales valoran proyecto misceláneo</w:t>
      </w:r>
    </w:p>
    <w:p>
      <w:pPr>
        <w:spacing w:before="40" w:after="60"/>
        <w:ind w:left="283"/>
      </w:pPr>
      <w:r>
        <w:rPr>
          <w:rFonts w:ascii="Arial" w:hAnsi="Arial"/>
          <w:color w:val="404040"/>
          <w:sz w:val="21"/>
        </w:rPr>
        <w:t>Ante los parlamentarios, alertaron sobre el riesgo de pérdida de 30 mil puestos de trabajo directos y unos 80 mil indirectos. Una serie de advertencias, acompañadas de propuestas para enfrentar los reparos del sistema, expusieron este martes representantes de las asociaciones gremiales de Organismos Técnicos de Capacitación (OTEC) ante la propuesta del gobierno de poner fin a la llamada franquicia Sence que analiza la comisión de Hacienda de la Cámara de Diputados. Este incentivo, cuya eliminación es parte del proyecto de reconstrucción y reactivación económica, les permite a las empresas descontar del impuesto a la renta que se paga anualmente, hasta el 1% de la planilla anual de remuneraciones de su dotación. Un esquema en el que las OTEC tienen un rol clave, ya que son las entidades acreditadas y autorizadas por el Servicio Nacional de Capacitación y Empleo (Sence), para impartir cursos de capacitación utilizando esta herramienta.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En medio del alza de tasas de navegación aéreas: aerolíneas y aeropuertos en Argentina ajustan sus modelos de negocio</w:t>
      </w:r>
    </w:p>
    <w:p>
      <w:pPr>
        <w:spacing w:before="40" w:after="60"/>
        <w:ind w:left="283"/>
      </w:pPr>
      <w:r>
        <w:rPr>
          <w:rFonts w:ascii="Arial" w:hAnsi="Arial"/>
          <w:color w:val="404040"/>
          <w:sz w:val="21"/>
        </w:rPr>
        <w:t>A días de la actualización de las tasas aéreas impulsada por la ANAC, Aerolíneas Argentinas eliminó el equipaje de mano gratuito de su tarifa base para vuelos nacionales, mientras que el Aeropuerto de Ezeiza inauguró una sede de Sport Club para fortalecer sus ingresos no aeronáuticos. Laindustria aérea argentinaatraviesa un nuevo proceso de transformación. En medio de la controversia generada por elaumento de las tasas de navegación aéreasimpulsado por el gobierno de Javier Milei y las críticas levantadas por gremios internacionales, aerolíneas y operadores aeroportuarios comenzaron a acelerar cambios en sus servicios en un contexto de mayor crecimiento de las compañías low cost. La semana pasada,la Administración Nacional de Aviación Civil (ANAC) aprobó una actualización de las tasas que pagan las aerolíneas por servicios de navegación aérea y aterrizaje,dejando sin efecto el esquema tarifario vigente desde 2024.</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préstamo con respaldo de chips de CoreWeave genera una demanda de US$ 19 mil millones</w:t>
      </w:r>
    </w:p>
    <w:p>
      <w:pPr>
        <w:spacing w:before="40" w:after="60"/>
        <w:ind w:left="283"/>
      </w:pPr>
      <w:r>
        <w:rPr>
          <w:rFonts w:ascii="Arial" w:hAnsi="Arial"/>
          <w:color w:val="404040"/>
          <w:sz w:val="21"/>
        </w:rPr>
        <w:t>Según fuentes familiarizadas con el asunto,CoreWeave Inc. consiguió órdenes de inversión por valor deUS$ 19.000 millonespara un préstamo de US$ 3.100 millones respaldado por contratos de clientes paramicrochips; se trata del primero de su tipo en ser sindicado a gran escala en el mercado estadounidense de préstamos apalancados. Según fuentes que prefirieron permanecer en el anonimato debido a la confidencialidad de los detalles, esta demanda se sitúa casi con toda seguridad entre las más altas jamás registradas para un préstamo a plazo fijo. Se trata de una de las señales más claras hasta la fecha de que los inversionistas en los segmentos más arriesgados del mercado crediticio están ansiosos por participar en el auge de la infraestructura de IA, siempre y cuando existan las garantías adecuadas. El préstamo a 5,5 años de CoreWeave está respaldado por contratos vinculados a unidades de procesamiento gráfico que impulsan los modelos de IA para OpenAI, desarrollador de ChatGPT, y Cohere Inc. La empresa de computación en la nube también acordó reembolsar la deuda en su totalidad durante su vigencia, una cláusula que dio a los inversores mayor confianza en que no incurrirá en impago.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¿Cómo puede impactar la reunión de este jueves de Lula con Trump en la carrera presidencial de Brasil?</w:t>
      </w:r>
    </w:p>
    <w:p>
      <w:pPr>
        <w:spacing w:before="40" w:after="60"/>
        <w:ind w:left="283"/>
      </w:pPr>
      <w:r>
        <w:rPr>
          <w:rFonts w:ascii="Arial" w:hAnsi="Arial"/>
          <w:color w:val="404040"/>
          <w:sz w:val="21"/>
        </w:rPr>
        <w:t>El Presidente del gigante sudamericano enfrenta un estancamiento en las encuestas de cara a la elección del 4 de octubre, empatando en 47% en las intenciones de voto con Flávio Bolsonaro. La cerrera presidencial se ha ido ajustando en Brasil.Flávio Bolsonaro, hijo del exjefe de Estado Jair Bolsonaro, comenzó a acortar su distancia con el PresidenteLula da Silvahastaempatarlo en 47%,de acuerdo con el más reciente sondeo de AtlasIntel y Bloomberg. En ese contexto, la visita de este jueves del mandatario brasileño a Washington D.C. para reunirse con su par estadounidense, Donald Trump, aunque centrada en temas económicos y de seguridad, inevitablemente tendrá una lectura en la política interna del gigante sudamericano.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"Todo va sobre ruedas y ya veremos qué pasa": Trump afirma que la guerra podría terminar si Irán acepta una propuesta de paz que analiza Teherán</w:t>
      </w:r>
    </w:p>
    <w:p>
      <w:pPr>
        <w:spacing w:before="40" w:after="60"/>
        <w:ind w:left="283"/>
      </w:pPr>
      <w:r>
        <w:rPr>
          <w:rFonts w:ascii="Arial" w:hAnsi="Arial"/>
          <w:color w:val="404040"/>
          <w:sz w:val="21"/>
        </w:rPr>
        <w:t>Más temprano, Axios informó que la Casa Blanca cree que está a punto de alcanzar un acuerdo con Irán sobre un memorándum de entendimiento de una página para poner fin a la guerra y establecer un marco para negociaciones nucleares más detalladas. El precio del petróleo Brent cayó con fuerza tras la noticia. El acuerdo implicaría que ambas partes levantaran las restricciones al tránsito por el estrecho de Ormuz. (Foto: Reuters) La Casa Blanca cree que está a punto de alcanzar un acuerdo con Irán sobre un memorándum de entendimiento de una página para poner fin a la guerray establecer un marco para negociaciones nucleares más detalladas, según informó Axios el miércoles, citando a dos funcionarios estadounidenses y otras dos fuentes al tanto del asunto.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Incertidumbre política pone en pausa reestructuración de Petroperú y compañía deteriora aún más su situación financiera</w:t>
      </w:r>
    </w:p>
    <w:p>
      <w:pPr>
        <w:spacing w:before="40" w:after="60"/>
        <w:ind w:left="283"/>
      </w:pPr>
      <w:r>
        <w:rPr>
          <w:rFonts w:ascii="Arial" w:hAnsi="Arial"/>
          <w:color w:val="404040"/>
          <w:sz w:val="21"/>
        </w:rPr>
        <w:t>La petrolera estatal peruana ya suma su cuarto presidente en lo que va de 2026 y registró una caída de 21,43% en sus ingresos durante el primer trimestre del año. Petroperú,la mayor empresa estatal de hidrocarburos de Perú,enfrenta una nueva fase de incertidumbreen medio deldeterioro financiero que atraviesa la compañíay las dudas sobre el futuro de su reorganización. Y es que la Comisión de Energía y Minas del Congreso peruanodecidió suspender temporalmente el debate del proyecto que buscaba derogarel decreto de urgencia impulsado por el Ejecutivo comoparte del proceso de reestructuración iniciado en 2022para reorganizar patrimonial y financieramente a la compañía.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JPMorgan lanza indicador para medir un mercado de 6.400 firmas privadas en EEUU</w:t>
      </w:r>
    </w:p>
    <w:p>
      <w:pPr>
        <w:spacing w:before="40" w:after="60"/>
        <w:ind w:left="283"/>
      </w:pPr>
      <w:r>
        <w:rPr>
          <w:rFonts w:ascii="Arial" w:hAnsi="Arial"/>
          <w:color w:val="404040"/>
          <w:sz w:val="21"/>
        </w:rPr>
        <w:t>El indicador, denominado "JP Morgan Private Assets Index (JPAX)-Middle Market", funcionará como un "instrumento de diagnóstico" en lugar de un índice negociable. El año pasado, la firma incorporó análisis de empresas privadas individuales, comenzando con OpenAI. JPMorgan Chase  creó un índice que rastrea a las empresas privadas medianasde EEUU con unos ingresos anuales combinados deUS$ 1 billón (millón de millones), la primera de una serie de herramientas planificadas para brindar a los inversionistas una mayor transparencia en el mundo de las empresas de capital cerrado. El producto está diseñado para proporcionar a los socios generales, socios limitados, corporaciones y empresas medianasun indicador de referencia de nivel institucional, según dos informes de investigación deJPMorganpublicados esta semana que anuncian el nuevo índice. Incluye aproximadamente 6.400 empresas, cada una con ingresos anuales de entreUS$ 10 millones y US$ 1.000 millones.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Ted Turner, el multimillonario fundador de la cadena CNN, muere a los 87 años</w:t>
      </w:r>
    </w:p>
    <w:p>
      <w:pPr>
        <w:spacing w:before="40" w:after="60"/>
        <w:ind w:left="283"/>
      </w:pPr>
      <w:r>
        <w:rPr>
          <w:rFonts w:ascii="Arial" w:hAnsi="Arial"/>
          <w:color w:val="404040"/>
          <w:sz w:val="21"/>
        </w:rPr>
        <w:t>Turner se convirtió en una de las figuras más poderosas de los medios de comunicación y el entretenimiento de Estados Unidos, con sus cadenas especializadas en noticias, deportes, reposiciones y películas antiguas. Turner en una imagen de archivo junto a su exesposa Jane Fonda. (Foto: Reuters) Ted Turner, el audaz deportista y empresario cuya ambición e instinto le llevaron a crear un imperio mediático que incluía la innovadora cadena de noticias CNN, falleció a los 87 años, informó CNN el miércoles citando un comunicado de prensa de Turner Enterprises.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Brasileña GPA llega a acuerdo de reestructuración de deuda con acreedores</w:t>
      </w:r>
    </w:p>
    <w:p>
      <w:pPr>
        <w:spacing w:before="40" w:after="60"/>
        <w:ind w:left="283"/>
      </w:pPr>
      <w:r>
        <w:rPr>
          <w:rFonts w:ascii="Arial" w:hAnsi="Arial"/>
          <w:color w:val="404040"/>
          <w:sz w:val="21"/>
        </w:rPr>
        <w:t>La resolución es con aquellos acreedores que poseen el 57,49% de los créditos en cuestión, cuyo valor total asciende a 4.568 millones de reales brasileños (US$ 913 millones). La brasileñaCompanhia Brasileira de Distribuição (GPA),anteriormente conocida como Grupo Pão de Açúcar,anunció que alcanzó un acuerdo sobre un nuevo plan de reestructura de deuda extrajudicial con acreedores. De acuerdo con lo informado por la compañía en un comunicado,dicha resolución es con aquellos acreedores que poseen el 57,49% de los créditos en cuestión,cuyo valor total asciende a 4.568 millones de reales brasileños (US$ 913 millones).</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La startup china de IA DeepSeek se acerca a una valorización de US$ 45.000 millones</w:t>
      </w:r>
    </w:p>
    <w:p>
      <w:pPr>
        <w:spacing w:before="40" w:after="60"/>
        <w:ind w:left="283"/>
      </w:pPr>
      <w:r>
        <w:rPr>
          <w:rFonts w:ascii="Arial" w:hAnsi="Arial"/>
          <w:color w:val="404040"/>
          <w:sz w:val="21"/>
        </w:rPr>
        <w:t>La valorización se dispara en medio de conversaciones de financiamiento en curso, mientras inversionistas como Tencent buscan una participación en el laboratorio de IA. El mayor vehículo de inversión en semiconductores respaldado por el Estado en China está en conversaciones para liderar el financiamiento de la primera ronda de levantamiento de capital de DeepSeek, una operación que podría valorar a la startup de IA en cerca deUS$ 45.000 millones. ElChina Integrated Circuit Industry Investment Fund, conocido habitualmente como el“Big Fund”, busca encabezar la inversión en DeepSeek, según cuatro personas con conocimiento de las conversaciones.</w:t>
      </w:r>
    </w:p>
    <w:p>
      <w:pPr>
        <w:pBdr>
          <w:bottom w:val="single" w:sz="4" w:space="1" w:color="BDD7EE"/>
        </w:pBdr>
        <w:spacing w:before="80" w:after="80"/>
      </w:pPr>
    </w:p>
    <w:p>
      <w:pPr>
        <w:pStyle w:val="Heading2"/>
        <w:spacing w:before="200" w:after="80"/>
      </w:pPr>
      <w:r>
        <w:rPr>
          <w:rFonts w:ascii="Arial" w:hAnsi="Arial"/>
          <w:b/>
          <w:color w:val="2E75B6"/>
          <w:sz w:val="22"/>
        </w:rPr>
        <w:t xml:space="preserve">10.  </w:t>
      </w:r>
      <w:r>
        <w:rPr>
          <w:rFonts w:ascii="Arial" w:hAnsi="Arial"/>
          <w:b/>
          <w:color w:val="1F4E79"/>
          <w:sz w:val="22"/>
        </w:rPr>
        <w:t>Novo Nordisk reporta alta demanda de su píldora para perder peso en EEUU y su acción salta hasta 9%</w:t>
      </w:r>
    </w:p>
    <w:p>
      <w:pPr>
        <w:spacing w:before="40" w:after="60"/>
        <w:ind w:left="283"/>
      </w:pPr>
      <w:r>
        <w:rPr>
          <w:rFonts w:ascii="Arial" w:hAnsi="Arial"/>
          <w:color w:val="404040"/>
          <w:sz w:val="21"/>
        </w:rPr>
        <w:t>Hasta el 17 de abril se habían emitido más de 2 millones de recetas médica de Wegovy, con más de 200 mil solo en esa semana. Según informó Novo Nordisk en su reporte del primer trimestre difundido este miércoles, la píldoraWegovypara perder peso tuvoel mejor lanzamiento de cualquier tratamiento reciente en Estados Unidos, impulsando un alza de hasta 9% en su acción en la bolsa de Copenhague,avance que se ha moderado a 7% en el transcurso del día. En detalle, hasta el 17 de abril se habían emitidomás de 2 millones de recetas médicas, con más de 200 mil solo en esa semana.Las recetas de la píldorase están acercando al nivel de la inyección original Ozempic, que registró 270 mil en esa misma semana.</w:t>
      </w:r>
    </w:p>
    <w:p>
      <w:pPr>
        <w:pBdr>
          <w:bottom w:val="single" w:sz="4" w:space="1" w:color="BDD7EE"/>
        </w:pBdr>
        <w:spacing w:before="80" w:after="80"/>
      </w:pPr>
    </w:p>
    <w:p>
      <w:pPr>
        <w:pStyle w:val="Heading2"/>
        <w:spacing w:before="200" w:after="80"/>
      </w:pPr>
      <w:r>
        <w:rPr>
          <w:rFonts w:ascii="Arial" w:hAnsi="Arial"/>
          <w:b/>
          <w:color w:val="2E75B6"/>
          <w:sz w:val="22"/>
        </w:rPr>
        <w:t xml:space="preserve">11.  </w:t>
      </w:r>
      <w:r>
        <w:rPr>
          <w:rFonts w:ascii="Arial" w:hAnsi="Arial"/>
          <w:b/>
          <w:color w:val="1F4E79"/>
          <w:sz w:val="22"/>
        </w:rPr>
        <w:t>Samsung alcanza valorización de US$ 1 billón y se une a TSMC en exclusivo club asiático</w:t>
      </w:r>
    </w:p>
    <w:p>
      <w:pPr>
        <w:spacing w:before="40" w:after="60"/>
        <w:ind w:left="283"/>
      </w:pPr>
      <w:r>
        <w:rPr>
          <w:rFonts w:ascii="Arial" w:hAnsi="Arial"/>
          <w:color w:val="404040"/>
          <w:sz w:val="21"/>
        </w:rPr>
        <w:t>La acción de la firma surcoreana saltó 14% este miércoles y llevó al Kospi sobre los 7.000 puntos por primera vez, en medio del boom global de demanda por chips para la IA. La valorización bursátil de Samsung Electronics Co. superó el US$ 1 billón (millón de millones)después de que las acciones delmayor fabricante de memorias del mundomás que se cuadruplicaran durante el último año, impulsadas por lafuerte demanda de chips utilizados en inteligencia artificial. El hito se produjo luego de quelos títulos de la compañía surcoreana subieran 14% este miércoles, convirtiéndola en apenasla segunda firma asiática, después de Taiwan Semiconductor Manufacturing Co. (TSMC), en alcanzar ese nivel. El avance de Samsung también impulsó al índiceKospien más de 6%, llevándolo por primera vezpor encima de los 7.000 puntos.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La gira tech del canciller Pérez Mackenna y de la ministra Lincolao: reuniones en Silicon Valley con Nvidia, Google y Apple</w:t>
      </w:r>
    </w:p>
    <w:p>
      <w:pPr>
        <w:spacing w:before="40" w:after="60"/>
        <w:ind w:left="283"/>
      </w:pPr>
      <w:r>
        <w:rPr>
          <w:rFonts w:ascii="Arial" w:hAnsi="Arial"/>
          <w:color w:val="404040"/>
          <w:sz w:val="21"/>
        </w:rPr>
        <w:t>En el marco del programa Choose Chile, los secretarios de Estado se reunieron con grandes empresas tecnológicas para promover la inversión y la formación de capital humano en el país. La ministra Lincolao y el canciller Pérez Mackenna junto con la vicepresidenta de Iniciativas Globales en IA de Nvidia, Calista Redmond. Una gira tecnológica emprendieron por Estados Unidos elministro de Relaciones Exteriores, Francisco Pérez Mackenna y la ministra de Ciencia, Tecnología, Conocimiento e Innovación, Ximena Lincolao.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Anthropic cierra acuerdo con SpaceX para ampliar su capacidad de cómputo y responder al alza de la demanda de sus sistemas de IA</w:t>
      </w:r>
    </w:p>
    <w:p>
      <w:pPr>
        <w:spacing w:before="40" w:after="60"/>
        <w:ind w:left="283"/>
      </w:pPr>
      <w:r>
        <w:rPr>
          <w:rFonts w:ascii="Arial" w:hAnsi="Arial"/>
          <w:color w:val="404040"/>
          <w:sz w:val="21"/>
        </w:rPr>
        <w:t>La tecnológica detrás de Claude señaló que la alianza incrementará “sustancialmente” sus recursos de cómputo y le permitirá elevar los límites de uso de sus productos de IA, al acceder a recursos computacionales en el centro de datos Colossus, propiedad de la compañía de Elon Musk. No se revelaron los términos del acuerdo. Foto: Bloomberg Anthropic PBC firmó un acuerdo con SpaceX, de Elon Musk, para reforzar su capacidad de cómputo y responder al fuerte aumento de la demanda por su software de inteligencia artificial (IA), Claude.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Pannex certifica resultados de molécula que ampliaría opción de inmunoterapia para pacientes con cáncer de mama agresivo</w:t>
      </w:r>
    </w:p>
    <w:p>
      <w:pPr>
        <w:spacing w:before="40" w:after="60"/>
        <w:ind w:left="283"/>
      </w:pPr>
      <w:r>
        <w:rPr>
          <w:rFonts w:ascii="Arial" w:hAnsi="Arial"/>
          <w:color w:val="404040"/>
          <w:sz w:val="21"/>
        </w:rPr>
        <w:t>Con este hito, la startup chilena basada en Nueva York se prepara para comenzar los trámites regulatorios en EEUU. David Bravo, CEO y cofundador de Pannex Therapeutics (foto asistida con IA). Cada año mueren en el mundo 150 mil mujeres por cáncer de mama triple negativo, el más agresivo de esta enfermedad, y solo el 20% de las pacientes responde a la inmunoterapia. Una startup chilena basada en Nueva York, Estados Unidos, busca cambiar esa realidad.</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Proptech Cliperty levanta capital y suma a Luis Hernán Paul a su directorio</w:t>
      </w:r>
    </w:p>
    <w:p>
      <w:pPr>
        <w:spacing w:before="40" w:after="60"/>
        <w:ind w:left="283"/>
      </w:pPr>
      <w:r>
        <w:rPr>
          <w:rFonts w:ascii="Arial" w:hAnsi="Arial"/>
          <w:color w:val="404040"/>
          <w:sz w:val="21"/>
        </w:rPr>
        <w:t>Recaudó US$ 300 mil a través de Broota, los que destinará a aumentar su base de clientes y nuevas funcionalidades con IA para su plataforma. La startup chilena Cliperty cerró una ronda por US$ 300 mil a través de la plataforma de financiamiento colectivo Broota, recursos que destinará a duplicar su base de clientes –tanto inmobiliarias como corredores- y a nuevos desarrollos con inteligencia artificial (IA). La compañía fue fundada en 2021 por los ingenieros civiles industriales Andrés Eguiguren y Diego Izikson, y Andrés Eguiguren (padre del primero).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Chile será sede de laboratorio de IA de Anthropic para traducir la regulación financiera a lenguaje ciudadano</w:t>
      </w:r>
    </w:p>
    <w:p>
      <w:pPr>
        <w:spacing w:before="40" w:after="60"/>
        <w:ind w:left="283"/>
      </w:pPr>
      <w:r>
        <w:rPr>
          <w:rFonts w:ascii="Arial" w:hAnsi="Arial"/>
          <w:color w:val="404040"/>
          <w:sz w:val="21"/>
        </w:rPr>
        <w:t>En el marco del Chile Fintech Forum 2026, el Claude Impact Lab reunirá a 200 desarrolladores y perfiles de negocio para crear herramientas basadas en inteligencia artificial que acerquen normas financieras complejas a la ciudadanía. Chile fue seleccionado entre nueve países para ser sede delprimer Claude Impact Lab de América Latina,un laboratorio de impacto cívico impulsado porAnthropicen el que equipos multidisciplinarioscrearán herramientas de inteligencia artificial (IA) para hacer más accesible la regulación financiera chilena, usando datos públicos de entidades como la Comisión para el Mercado Financiero (CMF), el Servicio de Impuestos Internos (SII) y el Servicio Nacional del Consumidor (Sernac). La iniciativa es organizada porBendita IA, FinteChile,y forma parte del programa global de Anthropic, y se llevará a cabo durante elChile Fintech Forum 2026, que se realizará en Espacio Riesco el 6 y 7 de mayo.</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Las advertencias del Consejo Fiscal Autónomo</w:t>
      </w:r>
    </w:p>
    <w:p>
      <w:pPr>
        <w:spacing w:before="40" w:after="60"/>
        <w:ind w:left="283"/>
      </w:pPr>
      <w:r>
        <w:rPr>
          <w:rFonts w:ascii="Arial" w:hAnsi="Arial"/>
          <w:color w:val="404040"/>
          <w:sz w:val="21"/>
        </w:rPr>
        <w:t>La opinión del Consejo Fiscal Autónomo (CFA) era una de las más esperadas en la discusión del proyecto de ley de reconstrucción y reactivación del gobierno, por la profundidad y rigurosidad del análisis técnico que realiza respecto de las finanzas públicas. Y en este caso, pone bajo la lupa varios aspectos que, lejos de constituir un rechazo al fondo de la iniciativa, se instalan como un llamado de atención oportuno sobre su sostenibilidad, particularmente en un contexto de estrechez fiscal, donde las holguras son limitadas y las presiones de gasto persisten. En su diagnóstico, el CFA aunque valora la orientación procrecimiento del proyecto, plantea que presenta un “déficit persistente” en todo el horizonte de evaluación, con un deterioro que alcanza un máximo de 0,71% del PIB en 2030 y se mantiene en 0,43% del PIB hacia 2050. Y, entre 2026 y 2031 la iniciativa genera un impacto fiscal neto negativo, lo que, a su juicio, obliga a buscar fuentes de financiamiento adicionales que hoy no están contempladas. Este punto es determinante, ya que mientras los menores ingresos fiscales derivados de rebajas tributarias o incentivos se materializan, los efectos positivos sobre el crecimiento y la recaudación serían graduales y, sobre todo, inciertos. Incluso incorporando el efecto de segunda vuelta —es decir, el mayor crecimiento esperado—, el Consejo estima que en 2030 el balance fiscal seguiría siendo deficitario en torno a 0,3% del PIB. Solo en el largo plazo el escenario mejora, con un eventual superávit de 0,78% del PIB en régimen, pero sujeto a que se cumplan supuestos de crecimiento que tanto el CFA como el Fondo Monetario Internacional (FMI) consideran optimistas.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evidencia está en el barrio</w:t>
      </w:r>
    </w:p>
    <w:p>
      <w:pPr>
        <w:spacing w:before="40" w:after="60"/>
        <w:ind w:left="283"/>
      </w:pPr>
      <w:r>
        <w:rPr>
          <w:rFonts w:ascii="Arial" w:hAnsi="Arial"/>
          <w:color w:val="404040"/>
          <w:sz w:val="21"/>
        </w:rPr>
        <w:t>Hace pocos días estuve en Paraguay y conocí un país pujante, con una gran afluencia de capitales extranjeros, impulsada por políticas económicas claras y amigables. Entre ellas destaca un esquema impositivo parejo, con tasas del 10% para el IVA, el impuesto corporativo y el impuesto a las personas, lo que le ha permitido crecer muy por sobre la media del continente e incrementar de forma significativa su recaudación fiscal. En la misma línea se encuentra Uruguay. Un país que en los últimos años se ha consolidado como un hub financiero de Latinoamérica gracias a lo mismo: certezas jurídicas y reglas del juego estables. ¿Qué ganan estos países? Inversión, mayor productividad, generación de empleo y crecimiento económico. Todo ello, además, acompañado de una transferencia de conocimientos que fortalece la capacidad de sus trabajadores.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Seguridad digital: el desafío no es solo técnico</w:t>
      </w:r>
    </w:p>
    <w:p>
      <w:pPr>
        <w:spacing w:before="40" w:after="60"/>
        <w:ind w:left="283"/>
      </w:pPr>
      <w:r>
        <w:rPr>
          <w:rFonts w:ascii="Arial" w:hAnsi="Arial"/>
          <w:color w:val="404040"/>
          <w:sz w:val="21"/>
        </w:rPr>
        <w:t>La reciente normativa de la CMF, que exigirá doble autenticación en pagos digitales desde 2026, responde a una necesidad evidente: el aumento del fraude y la pérdida de confianza en los sistemas electrónicos. En ese sentido, es una medida correcta y oportuna. Sin embargo, su implementación no está exenta de efectos. Muchas Fintech y emprendimientos tecnológicos, especialmente regionales, deberán realizar inversiones significativas para cumplir con estos estándares, lo que podría elevar las barreras de entrada y afectar la innovación. Pero el desafío principal no es técnico, sino cultural. El usuario chileno valora la rapidez y la simplicidad. Si cada transacción implica mayores pasos o fricción, existe el riesgo de desincentivar el uso de medios digitales e incluso favorecer el retorno al efectivo.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6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