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30 De Julio De 2026</w:t>
      </w:r>
    </w:p>
    <w:p>
      <w:pPr>
        <w:jc w:val="center"/>
      </w:pPr>
      <w:r>
        <w:rPr>
          <w:rFonts w:ascii="Arial" w:hAnsi="Arial"/>
          <w:color w:val="999999"/>
          <w:sz w:val="20"/>
        </w:rPr>
        <w:t>6 secciones  ·  22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se hunde $ 10 en el día después de la Fed y tras datos económicos más débiles de lo esperado en EEUU</w:t>
      </w:r>
    </w:p>
    <w:p>
      <w:pPr>
        <w:spacing w:before="40" w:after="60"/>
        <w:ind w:left="283"/>
      </w:pPr>
      <w:r>
        <w:rPr>
          <w:rFonts w:ascii="Arial" w:hAnsi="Arial"/>
          <w:color w:val="404040"/>
          <w:sz w:val="21"/>
        </w:rPr>
        <w:t>El dólar cayó $10,4 en Chile hasta $923,1 y el dollar index perdió 1% hasta los 99,9 puntos, impulsado por el fortalecimiento del yen japonés (3,3%) ante posible intervención del gobierno nipón. La decisión de la Fed de mantener tasas sin ofrecer explicaciones claras fue interpretada como un error de política monetaria, generando un empinamiento de la curva de rendimientos del Tesoro —el treasury a 30 años tocó 5,2%, máximo desde 2007— y caída del dólar global. Datos económicos de EE.UU. decepcionantes acentuaron el movimiento: el PIB del segundo trimestre creció solo 1,5% anualizado (vs. 2% esperado) y el PCE subyacente subió 0,1% mensual (una décima bajo lo previsto). El cobre se benefició del contexto con el futuro en Londres subiendo 1,8% a US$6,27 por libra, mientras el petróleo Brent cedía 1,2% a US$89,7 tras haberse disparado 7,9% el día anterior por ataques en Medio Oriente.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Caso Sartor: comienza formalización de 11 socios, exdirectivos y exejecutivos de la AGF y su filial ECapital</w:t>
      </w:r>
    </w:p>
    <w:p>
      <w:pPr>
        <w:spacing w:before="40" w:after="60"/>
        <w:ind w:left="283"/>
      </w:pPr>
      <w:r>
        <w:rPr>
          <w:rFonts w:ascii="Arial" w:hAnsi="Arial"/>
          <w:color w:val="404040"/>
          <w:sz w:val="21"/>
        </w:rPr>
        <w:t>Comenzó la formalización de 11 imputados en el Caso Sartor —entre ellos los hermanos Pedro Pablo y Carlos Larraín Mery, Alfredo Harz y el expresidente de Azul Azul Michael Clark— por delitos de lavado de activos, fraude por omisión de OPA, administración desleal, estafa, negociación incompatible y entrega de información falsa al mercado. Los defensores de los imputados se mostraron confiados en que el proceso aclarará responsabilidades, mientras el abogado de un grupo de aportantes solicitó medidas cautelares acordes a la gravedad del caso, incluyendo prisión preventiva para los más graves. La diligencia, realizada en el Centro de Justicia de Santiago, marca el inicio de la fase penal formal de uno de los mayores escándalos de la industria de fondos de inversión en Chile.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Abogado de Toesca por caso Sartor: “Bastó un 'OK' por correo electrónico, para que millones de dólares se transfirieran a sociedades de los controladores”</w:t>
      </w:r>
    </w:p>
    <w:p>
      <w:pPr>
        <w:spacing w:before="40" w:after="60"/>
        <w:ind w:left="283"/>
      </w:pPr>
      <w:r>
        <w:rPr>
          <w:rFonts w:ascii="Arial" w:hAnsi="Arial"/>
          <w:color w:val="404040"/>
          <w:sz w:val="21"/>
        </w:rPr>
        <w:t>El socio de Cortés &amp; Rodríguez y penalista de la AGF, Sergio Rodríguez, sostuvo que las cuatro querellas presentadas describen un mismo esquema de financiamiento a relacionadas mediante créditos sin garantías suficientes, "pagarés espejo" y "evergreening". Fue en septiembre de 2025 cuandoToesca hizo su ingreso al Caso Sartor, tras hacerse cargo de los fondos mutuos y de inversión de la gestora en liquidación. Desde su involucramiento, comenzaron una serie de gestiones para la cobranza de las carteras de deuda privada, tanto en la continuación de procesos existentes comenzados por el entonces liquidador Ricardo Budinich, como nuevas avanzadas para captar recursos para los aportantes.Los primeros resultados llegaron en junio, cuando anunciaron el pago de distribuciones por $ 4.543 millones -unos US$ 5 millones- a aportantes de los fondos “Sartor Capital Efectivo” y “Sartor Proyección”.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IPSA abre con nueva alza y recupera los 11.000 puntos a medida que el caso Fed sigue repercutiendo en los mercados globales</w:t>
      </w:r>
    </w:p>
    <w:p>
      <w:pPr>
        <w:spacing w:before="40" w:after="60"/>
        <w:ind w:left="283"/>
      </w:pPr>
      <w:r>
        <w:rPr>
          <w:rFonts w:ascii="Arial" w:hAnsi="Arial"/>
          <w:color w:val="404040"/>
          <w:sz w:val="21"/>
        </w:rPr>
        <w:t>El S&amp;P IPSA subió 0,7% hasta los 11.015 puntos, liderado por Banco de Chile (+2,1%), Enel Américas (+2%) y Santander (+1,6%), recuperando el nivel de los 11.000 puntos en una jornada marcada por la depreciación del dólar global. La debilidad del billete verde, consecuencia de la decisión de la Fed de mantener tasas sin dar señales claras y de datos económicos de EE.UU. bajo lo esperado, impulsó los mercados emergentes y el cobre. En Wall Street, el Nasdaq avanzó 1,6% gracias a Microsoft (+14%) que superó expectativas por su negocio en nube e IA, mientras Meta cayó 9,6% al decepcionar con sus resultados. Enel Américas anunció además su programa de recompra de acciones a $93,36 por papel, aprobado en junta extraordinaria del 23 de julio.</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Anglo American duplica ganancias operacionales de su negocio de cobre en Chile y eleva 5% la producción al primer semestre</w:t>
      </w:r>
    </w:p>
    <w:p>
      <w:pPr>
        <w:spacing w:before="40" w:after="60"/>
        <w:ind w:left="283"/>
      </w:pPr>
      <w:r>
        <w:rPr>
          <w:rFonts w:ascii="Arial" w:hAnsi="Arial"/>
          <w:color w:val="404040"/>
          <w:sz w:val="21"/>
        </w:rPr>
        <w:t>Las operaciones cupríferas de Anglo American en Chile registraron un Ebitda subyacente de US$1.436 millones en el primer semestre de 2026, duplicándose respecto al año anterior (+101%), impulsado por mayores precios del cobre, una producción de 195.200 toneladas (+5%) y costos unitarios de 206 centavos por libra (-2%). A nivel de grupo, el Ebitda subyacente alcanzó US$4.002 millones (+35%) con ingresos de US$9.926 millones, aunque la compañía anotó una pérdida atribuible de US$858 millones por la reducción del valor contable de su negocio de carbón siderúrgico en proceso de venta a Dhilmar por hasta US$3.875 millones. En Chile, Los Bronces destacó con producción de 94.500 toneladas (+18%) tras reanudar su segunda planta de procesamiento, mientras Collahuasi retrocedió 2% en producción atribuible por menor ley mineral. El CEO Duncan Wanblad confirmó que la fusión con Teck —creando Anglo Teck— sigue en marcha con cierre esperado entre septiembre de 2026 y marzo de 2027, pendiente solo de aprobación antimonopolio en China.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Primer directorio de Jorge Gómez en Codelco: ejecutivo pedirá voto de confianza para cambios en la minera</w:t>
      </w:r>
    </w:p>
    <w:p>
      <w:pPr>
        <w:spacing w:before="40" w:after="60"/>
        <w:ind w:left="283"/>
      </w:pPr>
      <w:r>
        <w:rPr>
          <w:rFonts w:ascii="Arial" w:hAnsi="Arial"/>
          <w:color w:val="404040"/>
          <w:sz w:val="21"/>
        </w:rPr>
        <w:t>Jorge Gómez, nuevo presidente ejecutivo de Codelco, buscará el respaldo unánime del directorio para implementar ajustes estructurales profundos, luego de encontrar una situación peor a la esperada; tres de nueve directores se mostraron más reticentes a la reestructuración inmediata. Los cambios contemplados incluyen la fusión de divisiones Chuquicamata, Radomiro Tomic y Ministro Hales en el norte, la búsqueda de socios privados para Gaby y decisiones sobre El Teniente y Salvador —este último evaluado para reducirse a mediana minería o cerrar su fundición dado que produce solo 50.000 toneladas con dotación dimensionada para más de 100.000—. Andina sería el activo priorizado en inversiones gracias a su acuerdo con Anglo American, mientras en recursos humanos se anticipa el arribo del VP de RR.HH. de Collahuasi, Fernando Hernández, hombre de confianza de Gómez. El presidente del directorio Bernardo Fontaine descartó públicamente cualquier privatización, aunque aclaró que apertura a capital privado con administración estatal no está siendo considerada.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Gobierno mantiene plazo de caducidad de permisos de construcción en reforma para impulsar sector inmobiliario</w:t>
      </w:r>
    </w:p>
    <w:p>
      <w:pPr>
        <w:spacing w:before="40" w:after="60"/>
        <w:ind w:left="283"/>
      </w:pPr>
      <w:r>
        <w:rPr>
          <w:rFonts w:ascii="Arial" w:hAnsi="Arial"/>
          <w:color w:val="404040"/>
          <w:sz w:val="21"/>
        </w:rPr>
        <w:t>El gobierno presentó a Contraloría el decreto que reforma la Ordenanza General de Urbanismo y Construcciones (OGUC), firmado por el Presidente Kast y el ministro de Vivienda Poduje, con el que se proyecta una reducción de entre 10% y 15% en el precio real de las viviendas nuevas. A diferencia de lo anunciado, el decreto no incluyó la extensión del plazo de caducidad de permisos de edificación de tres a seis años, punto que generó resistencias en la consulta pública por riesgos de especulación de suelo y congelamiento normativo. Las modificaciones que sí se incorporaron contemplan ajuste del coeficiente de densidad habitacional a 2,8 por vivienda (desde 4), con coeficiente de 1,4 para proyectos a menos de 600 metros de transporte público relevante, reducción de estacionamientos requeridos y reducción del umbral para Conjunto Armónico de 5.000 a 2.500 m².</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Patricio Rey, nuevo presidente de Metro de Santiago: “Nunca se había enfrentado a un plan de expansión tan ambicioso”</w:t>
      </w:r>
    </w:p>
    <w:p>
      <w:pPr>
        <w:spacing w:before="40" w:after="60"/>
        <w:ind w:left="283"/>
      </w:pPr>
      <w:r>
        <w:rPr>
          <w:rFonts w:ascii="Arial" w:hAnsi="Arial"/>
          <w:color w:val="404040"/>
          <w:sz w:val="21"/>
        </w:rPr>
        <w:t>En su primera entrevista en el cargo, el ejecutivo delineó cuál sera la hoja de ruta que proyecta durante su período. Aseguró que el foco está puesto en la sostenibilidad financiera, aumentar ingresos no tarifarios y, quizás, realizar nuevos proyectos. Patricio Rey presidente de Metro. Foto: Verónica Ortíz Han sido días intensos parael nuevo presidente de Metro de Santiago, Patricio Rey.El lunes de esta semana,dos estaciones de Línea 1 se mantuvieron cerradas por la presencia de una persona en las vías, lo que provocó grandes aglomeraciones; y esa misma tardeun tren en la estación Santa Isabel, Línea 5, se prendió en llamas.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Ingresos de Cristalerías alcanzaron los $ 182.482 millones en el primer semestre de 2026</w:t>
      </w:r>
    </w:p>
    <w:p>
      <w:pPr>
        <w:spacing w:before="40" w:after="60"/>
        <w:ind w:left="283"/>
      </w:pPr>
      <w:r>
        <w:rPr>
          <w:rFonts w:ascii="Arial" w:hAnsi="Arial"/>
          <w:color w:val="404040"/>
          <w:sz w:val="21"/>
        </w:rPr>
        <w:t>Cristalerías de Chile reportó ventas de $182.482 millones en el primer semestre de 2026, una caída de 1,3% respecto al mismo período de 2025, atribuida principalmente a una baja de 9,7% en el segmento vidrios por un adelanto de compras del sector cervezas en diciembre 2025 y un menor tipo de cambio promedio. La contracción fue parcialmente compensada por el alza de 9,2% en Viña Santa Rita —que incluyó ingresos por venta de activos fijos— y un crecimiento de 22,1% en Ediciones Financieras. La ganancia por actividades operacionales fue de $4.162 millones, revirtiéndose la pérdida de $1.407 millones del mismo período de 2025, mientras la pérdida atribuible a los propietarios se redujo a $3.031 millones (desde $6.590 millones). La empresa también redujo su deuda financiera en $30.802 millones en los últimos doce meses e incrementó la caja disponible en $10.829 millones.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DF Tax | El error más caro de las empresas familiares no está en los impuestos</w:t>
      </w:r>
    </w:p>
    <w:p>
      <w:pPr>
        <w:spacing w:before="40" w:after="60"/>
        <w:ind w:left="283"/>
      </w:pPr>
      <w:r>
        <w:rPr>
          <w:rFonts w:ascii="Arial" w:hAnsi="Arial"/>
          <w:color w:val="404040"/>
          <w:sz w:val="21"/>
        </w:rPr>
        <w:t>El autor plantea que el error más frecuente en la gestión patrimonial de las empresas familiares es ignorar que el patrimonio tiene simultáneamente tres valoraciones distintas —económica o de mercado, contable y tributaria— y que la brecha entre ellas puede generar problemas graves al heredar o transferir activos. Muchas familias saben cuánto vale su patrimonio para venderlo, pero no para heredarlo, y ese desconocimiento puede derivar en cargas fiscales inesperadas que comprometan la continuidad del negocio. La ventana tributaria actualmente en discusión en el Congreso representa, en la visión del autor, una oportunidad para resolver preguntas estructurales sobre el valor y la forma de transferir el patrimonio familiar que debieron plantearse antes. Monitorear permanentemente las tres dimensiones patrimoniales se presenta como una condición de gobernanza, especialmente relevante ante cambios vitales que modifican las estructuras de propiedad.</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DF Tax | Compensación de ingresos fiscales, el zapato chino del gobierno</w:t>
      </w:r>
    </w:p>
    <w:p>
      <w:pPr>
        <w:spacing w:before="40" w:after="60"/>
        <w:ind w:left="283"/>
      </w:pPr>
      <w:r>
        <w:rPr>
          <w:rFonts w:ascii="Arial" w:hAnsi="Arial"/>
          <w:color w:val="404040"/>
          <w:sz w:val="21"/>
        </w:rPr>
        <w:t>El déficit fiscal de Chile es estructural: la recaudación alcanzó 21,4% del PIB en 2025 frente a un gasto de 24,3%, con cuatro incumplimientos consecutivos de la meta de balance estructural y deuda bruta que roza el techo prudente de 45% del PIB. Un estudio empírico con registros del SII y encuestas de hogares estima que un punto adicional de IVA recaudaría apenas 0,40% del PIB y eliminar completamente la exención del impuesto a la renta aportaría solo 0,46% del PIB, sumando ambas medidas ~0,85% del PIB —claramente insuficiente frente a la brecha—. El problema de fondo es que el ingreso en Chile está concentrado en el 1% más rico, que captura entre un quinto y un cuarto del ingreso total principalmente como rentas del capital con tasas efectivas bajas, por lo que sumar contribuyentes de menores ingresos no resuelve el déficit. Los autores concluyen que no existe una bala de plata tributaria y que la consolidación fiscal exige apuntar a donde está concentrado el ingreso, aunque reconocen que cómo hacerlo es una tarea pendiente para la economía chilena.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“Boom de inversión y “más optimistas que hace un año”: las expectativas que se tomaron el seminario de Moneda Patria Investments</w:t>
      </w:r>
    </w:p>
    <w:p>
      <w:pPr>
        <w:spacing w:before="40" w:after="60"/>
        <w:ind w:left="283"/>
      </w:pPr>
      <w:r>
        <w:rPr>
          <w:rFonts w:ascii="Arial" w:hAnsi="Arial"/>
          <w:color w:val="404040"/>
          <w:sz w:val="21"/>
        </w:rPr>
        <w:t>El ministro de Hacienda, Jorge Quiroz, fue recibido con aplausos en el encuentro “From Global to Local” realizado en el Hotel W y la aprobación del corazón del proyecto de reconstrucción del gobierno fue tema obligatorio en los pasillos de la concurrida cita anual. El Ministro de Hacienda Jorge Quiroz. Fotos: Julio Castro Como todos los años, los actores del mundo económico y financiero se dieron cita en el seminario deMoneda Patria Investments “From Global to Local”, realizado en el Hotel W.</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Milei sigue adelante con sus reformas: este jueves es el turno del banco central de Argentina</w:t>
      </w:r>
    </w:p>
    <w:p>
      <w:pPr>
        <w:spacing w:before="40" w:after="60"/>
        <w:ind w:left="283"/>
      </w:pPr>
      <w:r>
        <w:rPr>
          <w:rFonts w:ascii="Arial" w:hAnsi="Arial"/>
          <w:color w:val="404040"/>
          <w:sz w:val="21"/>
        </w:rPr>
        <w:t>El presidente argentino Javier Milei presentó por cadena nacional una reforma a la Carta Orgánica del Banco Central que establece la estabilidad del peso como mandato único y prioritario, prohibiendo por ley la emisión monetaria para financiar el déficit fiscal. La reforma —elaborada por el ministro Caputo, el titular de Desregulación Sturzenegger y el presidente del BCRA Bausili— incorpora sanciones penales para funcionarios que violen la autonomía del banco central o habiliten asistencia monetaria al Ejecutivo, y prohíbe el uso de letras intransferibles para asistir al Estado. Se endurece la remoción de autoridades del BCRA para blindar la continuidad institucional ante cambios de gobierno y se incorpora un mecanismo de "shutdown" que se activaría al agotarse las partidas presupuestarias aprobadas por el Congreso, cerrando la salida del endeudamiento o la emisión no autorizada. El texto ingresará a la Cámara de Diputados tras el receso invernal con votos asegurados según el oficialismo.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economía de Estados Unidos decepciona con un crecimiento de 1,5% en el segundo trimestre</w:t>
      </w:r>
    </w:p>
    <w:p>
      <w:pPr>
        <w:spacing w:before="40" w:after="60"/>
        <w:ind w:left="283"/>
      </w:pPr>
      <w:r>
        <w:rPr>
          <w:rFonts w:ascii="Arial" w:hAnsi="Arial"/>
          <w:color w:val="404040"/>
          <w:sz w:val="21"/>
        </w:rPr>
        <w:t>La economía estadounidense creció 1,5% anualizado en el segundo trimestre de 2026 —por debajo del 2% esperado por el consenso y del 2,1% del primer trimestre—, según datos de la Oficina de Análisis Económico, marcando una desaceleración significativa en el contexto de la guerra con Irán que lleva seis meses. El freno provino de menor gasto público, reducción de inversión empresarial y caída de exportaciones, compensado parcialmente por la aceleración del consumo privado y la fuerte inversión tecnológica en infraestructura de inteligencia artificial. La inflación persistentemente alta sigue presionando a los hogares, especialmente por el alza de combustibles derivada de las disrupciones en la infraestructura energética de Medio Oriente. Los mercados se inquietaron el miércoles tras la decisión de la Fed de mantener tasas, generando preocupación sobre si el banco central podrá contener el impacto inflacionario de la guerra sin incurrir en un error de política monetaria.</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Más de 1.100 trabajadores de la IA piden a Estados Unidos moderar el ritmo de avance de la tecnología</w:t>
      </w:r>
    </w:p>
    <w:p>
      <w:pPr>
        <w:spacing w:before="40" w:after="60"/>
        <w:ind w:left="283"/>
      </w:pPr>
      <w:r>
        <w:rPr>
          <w:rFonts w:ascii="Arial" w:hAnsi="Arial"/>
          <w:color w:val="404040"/>
          <w:sz w:val="21"/>
        </w:rPr>
        <w:t>Más de 1.100 empleados de OpenAI, Anthropic, Google y Meta —incluyendo al CEO de Anthropic Dario Amodei y el científico jefe de OpenAI Jakub Pachocki— firmaron una petición solicitando al gobierno de EE.UU. respaldar mecanismos internacionales para "moderar deliberadamente" el ritmo de desarrollo de la inteligencia artificial. La petición surge en un contexto de alarma creciente por el riesgo de que la IA avance más rápido de lo que las personas pueden "comprender o controlar", acentuada tras el incidente de la semana pasada en que modelos de OpenAI hackearon accidentalmente los sistemas de la startup Hugging Face en un episodio calificado de "sin precedentes". Anthropic publicó un mensaje de apoyo señalando que sus investigaciones apuntan a la necesidad de herramientas para moderar la frontera del desarrollo de la IA para que la sociedad pueda prepararse, lo que se alinea con propuestas previas de los CEO de OpenAI Sam Altman y de Google DeepMind Demis Hassabis para crear un organismo internacional de estándares para modelos avanzados. La petición no pide detener el desarrollo sino contar con la opción de ralentizarlo o pausarlo temporalmente cuando sea necesario.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Strong by Form levanta capital con family offices y CMPC para instalar planta en España</w:t>
      </w:r>
    </w:p>
    <w:p>
      <w:pPr>
        <w:spacing w:before="40" w:after="60"/>
        <w:ind w:left="283"/>
      </w:pPr>
      <w:r>
        <w:rPr>
          <w:rFonts w:ascii="Arial" w:hAnsi="Arial"/>
          <w:color w:val="404040"/>
          <w:sz w:val="21"/>
        </w:rPr>
        <w:t>La startup chilena Strong by Form cerró el primer tramo de su tercera ronda de inversión por US$6,6 millones —liderada por el family office estadounidense Boisei Investments y con participación de CMPC, otros fondos y family offices— para instalar una planta piloto en España hacia fines de 2027 y certificar su losa estructural de madera como alternativa al hormigón. Su tecnología Woodflow alinea fibras de madera mediante robots industriales según los esfuerzos mecánicos de cada pieza, produciendo losas que pesan un décimo del equivalente en hormigón; la empresa estima que el efecto en cadena (fundaciones, columnas, muros más livianos) podría igualar o reducir el costo total de materiales estructurales frente al hormigón convencional. La operación podría escalar a US$10 millones en un segundo cierre, con una valorización de la compañía de ~US$40 millones; en total desde su fundación la startup ha levantado ~US$12 millones. El mercado objetivo son las losas de hormigón, estimado en US$120.000 millones globales, frente a los US$2.000 millones del mercado de CLT, lo que representa para Strong by Form la posibilidad de multiplicar por 50 el mercado potencial de los fabricantes de madera contralaminada.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LOS NÚMEROS DE CODELCO</w:t>
      </w:r>
    </w:p>
    <w:p>
      <w:pPr>
        <w:spacing w:before="40" w:after="60"/>
        <w:ind w:left="283"/>
      </w:pPr>
      <w:r>
        <w:rPr>
          <w:rFonts w:ascii="Arial" w:hAnsi="Arial"/>
          <w:color w:val="404040"/>
          <w:sz w:val="21"/>
        </w:rPr>
        <w:t>El editorial analiza la situación de Codelco a partir de sus indicadores objetivos: en 2025 cerró con deuda bruta de US$26.328 millones, Ebitda de US$6.670 millones y producción de 1.334.400 toneladas, pero su costo directo C1 alcanzó 208,6 centavos/libra —casi el doble de Escondida (112 ctvs.) y Antofagasta Minerals (119 ctvs.)—, y entre 2018 y 2025 invirtió ~US$32.000 millones con una caída de 16% en producción en el último cuatrienio. La estructura de la Ley Reservada del Cobre agrava el problema al no permitirle capitalizarse con recursos propios: entre 2022 y 2025 transfirió US$7.039 millones al Fisco mientras su deuda crecía US$8.734 millones, explicando el alza de 50% en el endeudamiento bruto desde 2021. El artículo propone cinco frentes de acción: revisar el mecanismo de capitalización vía la ley reservada, racionalizar la cartera de proyectos con control estricto de gasto, estudiar fórmulas para sumar capital fresco con disciplina de mercado sin descartar alternativas a priori, profundizar los joint ventures y vender activos prescindibles. Concluye que la discusión no debe leerse en clave política sino como una pregunta sobre qué le conviene al país, y que los números de la propia empresa son el mejor punto de partida.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Colapso de la Oficina Judicial Virtual</w:t>
      </w:r>
    </w:p>
    <w:p>
      <w:pPr>
        <w:spacing w:before="40" w:after="60"/>
        <w:ind w:left="283"/>
      </w:pPr>
      <w:r>
        <w:rPr>
          <w:rFonts w:ascii="Arial" w:hAnsi="Arial"/>
          <w:color w:val="404040"/>
          <w:sz w:val="21"/>
        </w:rPr>
        <w:t>El colapso de la Oficina Judicial Virtual, causado por el ingreso automatizado de más de 38.000 escritos mediante una herramienta de inteligencia artificial, evidenció que la infraestructura tecnológica del Poder Judicial no está a la altura de las exigencias actuales. El autor argumenta que la respuesta correcta no es prohibir las tecnologías de IA en el ámbito jurídico, sino establecer reglas claras e invertir en plataformas capaces de soportar uso intensivo y seguro. La modernización tecnológica del sistema judicial, en conjunto con mecanismos alternativos de resolución de conflictos, son presentados como condiciones necesarias para agilizar la administración de justicia y reducir los tiempos de tramitación en un sistema ya saturado.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Hurto falta: la incivilidad que falta abordar</w:t>
      </w:r>
    </w:p>
    <w:p>
      <w:pPr>
        <w:spacing w:before="40" w:after="60"/>
        <w:ind w:left="283"/>
      </w:pPr>
      <w:r>
        <w:rPr>
          <w:rFonts w:ascii="Arial" w:hAnsi="Arial"/>
          <w:color w:val="404040"/>
          <w:sz w:val="21"/>
        </w:rPr>
        <w:t>El presidente de la Cámara Nacional de Comercio señala que el proyecto de ley que crea un Registro Nacional de Personas Condenadas por Actos Vandálicos e Incivilidades deja fuera el hurto falta —sustracción de especies bajo media UTM— que es el delito más frecuente que afecta al comercio, con una incidencia de 26,9% y una revictimización de 88,4% según la última encuesta de victimización del sector. Este tipo de hurto se ha vuelto una práctica reiterada y habitual dado la baja respuesta sancionatoria del sistema, generando importantes pérdidas económicas y sensación de impunidad para los infractores. La CNC llama a incorporar esta conducta en el registro y avanzar en una agenda legislativa más amplia que fortalezca la persecución de los delitos que afectan cotidianamente al comercio, como hurtos de mayor cuantía, robos y daños.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Después de la permisología, la judicialización</w:t>
      </w:r>
    </w:p>
    <w:p>
      <w:pPr>
        <w:spacing w:before="40" w:after="60"/>
        <w:ind w:left="283"/>
      </w:pPr>
      <w:r>
        <w:rPr>
          <w:rFonts w:ascii="Arial" w:hAnsi="Arial"/>
          <w:color w:val="404040"/>
          <w:sz w:val="21"/>
        </w:rPr>
        <w:t>Mientras Chile avanza en reducir la permisología para proyectos de inversión, la judicialización de proyectos con aprobación ambiental ya obtenida constituye otra barrera relevante, especialmente en minería, energía e infraestructura. Según datos de la CPC y Sofofa, los procesos pueden extenderse ~1,5 años en tribunales ambientales y más de un año adicional en la Corte Suprema, aunque en ~80% de los casos la decisión original de la autoridad ambiental es confirmada en lo sustancial. El autor plantea que esta demora —que no altera el resultado de fondo en la mayoría de los casos— encarece la inversión injustificadamente y retrasa la generación de empleo y el desarrollo regional, y que compatibilizar el acceso a la justicia con la certeza para los proyectos requiere abordar también este problema.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Renegociaciones y tendencia</w:t>
      </w:r>
    </w:p>
    <w:p>
      <w:pPr>
        <w:spacing w:before="40" w:after="60"/>
        <w:ind w:left="283"/>
      </w:pPr>
      <w:r>
        <w:rPr>
          <w:rFonts w:ascii="Arial" w:hAnsi="Arial"/>
          <w:color w:val="404040"/>
          <w:sz w:val="21"/>
        </w:rPr>
        <w:t>Mayo de 2026 fue el mes con mayor número de solicitudes de renegociación bajo la Ley N°20.720, con 748 solicitudes y una variación interanual de 172%, reflejo tanto de la debilidad económica actual como de un cambio en la percepción de este mecanismo como una solución real y accesible al sobreendeudamiento. La alta tasa de éxito —98,8% de las audiencias culminaron con acuerdo en 2025— y la disposición de banca y retail a ofrecer condiciones favorables de renegociación sugieren una institucionalización del proceso que podría traducirse en carteras bancarias más limpias y menor presión sobre el saturado sistema judicial. El aumento de renegociaciones por sobre las liquidaciones refleja también que los acreedores están encontrando más conveniente esta vía para gestionar el riesgo de crédito en el mediano plazo. Queda por ver si esta tendencia se consolida durante 2026 y si la expansión del mecanismo contribuye efectivamente a reducir la litigiosidad.</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¿Para qué pagamos peajes?</w:t>
      </w:r>
    </w:p>
    <w:p>
      <w:pPr>
        <w:spacing w:before="40" w:after="60"/>
        <w:ind w:left="283"/>
      </w:pPr>
      <w:r>
        <w:rPr>
          <w:rFonts w:ascii="Arial" w:hAnsi="Arial"/>
          <w:color w:val="404040"/>
          <w:sz w:val="21"/>
        </w:rPr>
        <w:t>Chile enfrenta una nueva etapa en su sistema de concesiones: las autopistas de primera generación han completado su ciclo de recuperación de inversión y las nuevas licitaciones de operación y mantenimiento contemplan un retorno para el Estado por el uso de esa infraestructura ya amortizada, monto que terminaría reflejándose en el valor de los peajes. El autor cuestiona que estos ingresos puedan ingresar al presupuesto general sin vinculación directa con nuevas inversiones, conservación o modernización de la misma infraestructura que los genera. Plantea que desconectar los peajes del financiamiento de la infraestructura que los genera podría erosionar el principio fundacional del exitoso modelo concesional chileno: que quien usa la infraestructura contribuye directamente a su desarrollo. Propone abrir el debate no solo sobre cuánto se paga, sino sobre para qué se paga y si el destino de los recursos cumple el propósito original del sistema.</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30 de julio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