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22 De Mayo De 2026</w:t>
      </w:r>
    </w:p>
    <w:p>
      <w:pPr>
        <w:jc w:val="center"/>
      </w:pPr>
      <w:r>
        <w:rPr>
          <w:rFonts w:ascii="Arial" w:hAnsi="Arial"/>
          <w:color w:val="999999"/>
          <w:sz w:val="20"/>
        </w:rPr>
        <w:t>5 secciones  ·  19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Mercado de capitales de Argentina gana profundidad de la mano de Milei: banca tradicional vuelve a prestar y crece la bolsa</w:t>
      </w:r>
    </w:p>
    <w:p>
      <w:pPr>
        <w:spacing w:before="40" w:after="60"/>
        <w:ind w:left="283"/>
      </w:pPr>
      <w:r>
        <w:rPr>
          <w:rFonts w:ascii="Arial" w:hAnsi="Arial"/>
          <w:color w:val="404040"/>
          <w:sz w:val="21"/>
        </w:rPr>
        <w:t>El mercado de capitales argentino ha ganado profundidad y visibilidad internacional desde la llegada de Javier Milei, con el índice Merval escalando desde 583 a 1.973 puntos entre 2021 y 2026 y la capitalización bursátil avanzando de US$19.903 millones a US$52.638 millones. El spread soberano a 10 años cayó desde 1.373 puntos base en septiembre de 2024 a 538 puntos base, reflejando una menor percepción de riesgo impulsada por el ordenamiento fiscal y la baja inflación. La penetración del crédito bancario pasó del 11% al 16%, con los bancos reduciendo su exposición a títulos públicos para volver a prestar, aunque la morosidad repuntó hasta el 6,7%. Analistas advierten que queda pendiente verificar si la inversión productiva se materializa antes de las elecciones presidenciales de octubre de 2027, que podrían frenar el impulso.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borra caída inicial y recupera la zona de $ 900 tras decepcionante encuesta de confianza al consumidor en EEUU</w:t>
      </w:r>
    </w:p>
    <w:p>
      <w:pPr>
        <w:spacing w:before="40" w:after="60"/>
        <w:ind w:left="283"/>
      </w:pPr>
      <w:r>
        <w:rPr>
          <w:rFonts w:ascii="Arial" w:hAnsi="Arial"/>
          <w:color w:val="404040"/>
          <w:sz w:val="21"/>
        </w:rPr>
        <w:t>El dólar-peso intentó bajar inicialmente este viernes pero revirtió la tendencia y se estabilizó en torno a $899,9, tras una encuesta de confianza del consumidor de la Universidad de Michigan que registró su menor nivel histórico de 44,8 puntos, con expectativas de inflación a corto plazo en 4,8% y a largo plazo en 3,9%, ambas por encima de lo estimado. El mercado sigue atento a un posible acuerdo de paz con Irán, lo que ha presionado al petróleo Brent a la baja en un 4,5% en la semana, rondando los US$105 por barril. El cobre Comex moderó sus ganancias a un 0,6% para cotizar a US$6,34 por libra. El posicionamiento corto agresivo de no residentes contra el peso chileno, cuya posición neta superó los US$13.600 millones, sigue siendo un factor de presión para la divisa local.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IPSA vuelve del feriado con alzas sobre 10.600 puntos por expectativas de paz en torno a Medio Oriente</w:t>
      </w:r>
    </w:p>
    <w:p>
      <w:pPr>
        <w:spacing w:before="40" w:after="60"/>
        <w:ind w:left="283"/>
      </w:pPr>
      <w:r>
        <w:rPr>
          <w:rFonts w:ascii="Arial" w:hAnsi="Arial"/>
          <w:color w:val="404040"/>
          <w:sz w:val="21"/>
        </w:rPr>
        <w:t>La Bolsa de Santiago retomó actividades tras el feriado de las Glorias Navales con ganancias moderadas, con el S&amp;P IPSA subiendo 0,2% hasta los 10.622 puntos, impulsado por las expectativas de distensión del conflicto en el Golfo Pérsico. Antes del feriado, el selectivo había cerrado con un alza superior al 2%, siendo el segundo índice emergente con mejor desempeño en esa sesión. Los mercados globales acompañaron el optimismo, con el Dow Jones avanzando 0,7%, el S&amp;P 500 un 0,6% y el Nikkei liderando Asia con un alza del 2,7%. Las utilidades de las compañías del IPSA promedian un 15,2% sobre las estimaciones de consenso en la temporada de resultados, con SQM publicando sus cifras del primer trimestre el próximo martes.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Rosanna Costa: “La banca cuenta con capital y liquidez para abordar un escenario de estrés”</w:t>
      </w:r>
    </w:p>
    <w:p>
      <w:pPr>
        <w:spacing w:before="40" w:after="60"/>
        <w:ind w:left="283"/>
      </w:pPr>
      <w:r>
        <w:rPr>
          <w:rFonts w:ascii="Arial" w:hAnsi="Arial"/>
          <w:color w:val="404040"/>
          <w:sz w:val="21"/>
        </w:rPr>
        <w:t>En el marco de la presentación del Informe de Estabilidad Financiera (IEF), la presidenta del ente rector analizó los riesgos asociados a la guerra en Medio Oriente. Entre la Reunión de Política Financiera (RPF) y la presentación del Informe de Estabilidad Financiera (IEF) correspondiente al primer semestre de 2026,la semana de la presidenta del Banco Central, Rosanna Costa, culmina en su oficina. En su despacho, recibe a DF aclarando que el IEF no es un reporte que proyecte escenarios,sino que “es un instrumento que analiza riesgos, vulnerabilidades y, en ese contexto, evalúa cuál es la posición de los bancos frente a un estrés financiero severo y cuál es la capacidad de pago de los hogares, empresas como usuarios de crédito”, explica.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Banco Falabella capitaliza el mayor consumo y lidera utilidades del retail financiero en el arranque de 2026</w:t>
      </w:r>
    </w:p>
    <w:p>
      <w:pPr>
        <w:spacing w:before="40" w:after="60"/>
        <w:ind w:left="283"/>
      </w:pPr>
      <w:r>
        <w:rPr>
          <w:rFonts w:ascii="Arial" w:hAnsi="Arial"/>
          <w:color w:val="404040"/>
          <w:sz w:val="21"/>
        </w:rPr>
        <w:t>Banco Falabella se consolidó como el mejor desempeño del retail financiero en el primer trimestre de 2026, con utilidades que crecieron un 18% interanual para totalizar más de $64.600 millones, impulsadas por la mayor actividad crediticia y un crecimiento del 17% en compras con medios de pago, además de más de 770.000 nuevas cuentas y tarjetas en el trimestre. En contraste, Banco Ripley registró una caída del 34% en sus ganancias hasta $7.109 millones, afectado por el alza en la mora de 90 días (de 3,5% a 3,9%) y un mayor costo por riesgo del 11% frente al 8,3% del año anterior, en parte atribuida a la normativa de prefijos telefónicos que dificultó la gestión de cobranza. Cencosud Scotiabank mostró la mayor recuperación del sector al reducir sus pérdidas en un 85% hasta $8.779 millones, mientras Líder Bci revirtió sus ganancias del año anterior registrando pérdidas operacionales de $3.582 millones. Scotiabank ha confirmado públicamente que Cencosud es un activo no estratégico del que busca desinvertir.</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MBI e interés de la banca por deuda privada: “Se van dando cuenta que los fondos están madurando”</w:t>
      </w:r>
    </w:p>
    <w:p>
      <w:pPr>
        <w:spacing w:before="40" w:after="60"/>
        <w:ind w:left="283"/>
      </w:pPr>
      <w:r>
        <w:rPr>
          <w:rFonts w:ascii="Arial" w:hAnsi="Arial"/>
          <w:color w:val="404040"/>
          <w:sz w:val="21"/>
        </w:rPr>
        <w:t>La firma aseguró que el mercado chileno tiene riesgos acotados en comparación con EEUU, donde esta clase de activos está muy desarrollado y tiene un tamaño de US$ 1,8 billón. El gerente de activos alternativos de MBI Inversiones, Michael Wallace. Foto: Jonathan Duran Las preocupaciones por el crédito privado en mercados desarrollados fue uno de los focos del último Informe de Estabilidad Financiera (IEF) del Banco Central. La entidad advirtió que el fuerte crecimiento de la industria, especialmente en Estados Unidos, junto con un profundo vínculo con bancos, podría amenazar la estabilidad financiera.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Comité de Auditoría de Codelco contrata a KPMG para investigar denuncia por presuntos “ascensos irregulares” de dirigentes sindicales</w:t>
      </w:r>
    </w:p>
    <w:p>
      <w:pPr>
        <w:spacing w:before="40" w:after="60"/>
        <w:ind w:left="283"/>
      </w:pPr>
      <w:r>
        <w:rPr>
          <w:rFonts w:ascii="Arial" w:hAnsi="Arial"/>
          <w:color w:val="404040"/>
          <w:sz w:val="21"/>
        </w:rPr>
        <w:t>La revisión se centra en un acuerdo firmado entre la estatal y la FTC en 2025. El caso enfrenta a dirigentes de Chuquicamata y escaló incluso a querellas por injurias graves. No sólo las anomalías en el cálculo de la producción de 2025 tienen ocupado al Comité de Auditoría, Compensaciones y Ética (CACE) de Codelco. En marzo de 2026, la compañía global de servicios de auditoría KPMG inició un proceso de investigación en la estatal, solicitado por la Gerencia de Auditoría Interna, a raíz de una denuncia recibida en enero de este año que acusaba que una serie de dirigentes sindicales de la cuprera -específicamente de la División Chuquicamata- habrían obtenido ascensos irregulares y, con ello, mayores sueldos.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Las razones detrás de la separación de HD Group y los cuatro caminos que eligieron sus socios</w:t>
      </w:r>
    </w:p>
    <w:p>
      <w:pPr>
        <w:spacing w:before="40" w:after="60"/>
        <w:ind w:left="283"/>
      </w:pPr>
      <w:r>
        <w:rPr>
          <w:rFonts w:ascii="Arial" w:hAnsi="Arial"/>
          <w:color w:val="404040"/>
          <w:sz w:val="21"/>
        </w:rPr>
        <w:t>El estudio jurídico HD Group se disolvió formalmente en abril tras la decisión consensuada de sus seis socios de que eran más competitivos por separado, dado que en la práctica la firma operaba como varios estudios independientes bajo un mismo techo, con una dinámica de silos que dificultaba el crecimiento conjunto. Los seis socios emprendieron cuatro caminos distintos: José Luis Honorato y Gonzalo Delaveau mantienen la marca HD Legal con foco en arbitraje y M&amp;A; Sebastián Delpiano y Juan Ignacio Peña crearon una firma de mercado de capitales y proyectos; Rebeca Zamora lideró un spin-off de compliance y auditorías forenses; y Matías Langevin prepara una oficina especializada en fintech y regulación financiera. Los exsocios compartirán oficinas hasta julio y continuarán prestando servicios cruzados entre sí, asegurando continuidad para los clientes. La separación refleja una visión compartida sobre el futuro del mercado legal chileno, donde la IA y la automatización presionarán a los estudios medianos, favoreciendo estructuras más livianas, especializadas y eventualmente tres o cuatro grandes firmas multijurisdiccionales.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Récord de postulaciones para liderar la CNE: cargo será clave en elección del presidente del Coordinador Eléctrico</w:t>
      </w:r>
    </w:p>
    <w:p>
      <w:pPr>
        <w:spacing w:before="40" w:after="60"/>
        <w:ind w:left="283"/>
      </w:pPr>
      <w:r>
        <w:rPr>
          <w:rFonts w:ascii="Arial" w:hAnsi="Arial"/>
          <w:color w:val="404040"/>
          <w:sz w:val="21"/>
        </w:rPr>
        <w:t>El concurso para elegir al nuevo secretario ejecutivo de la Comisión Nacional de Energía —vacante desde que se pidió la renuncia a Marco Mancilla por el error tarifario que generó sobrecobros desde 2017— registró un récord histórico de 236 postulaciones, de las cuales 205 cumplieron los requisitos legales y 22 avanzaron a la etapa de evaluación directiva, superando ampliamente el proceso de 2022 cuando solo 109 cumplieron los requisitos. El proceso, iniciado el 12 de abril vía el Sistema de Alta Dirección Pública, tiene proyectado enviar la nómina final a Presidencia la primera semana de julio. La elección del nuevo timonel es estratégicamente relevante porque él integrará el Comité Especial de Nominaciones que elegirá a los nuevos consejeros del Coordinador Eléctrico Nacional, incluyendo su presidente, en un proceso proyectado para septiembre. El Ministerio de Energía señaló que el cargo exige urgentemente actualizar los procesos tarifarios atrasados, incluyendo el recálculo de distribución y transmisión heredado del gobierno anterior, y fortalecer la coordinación con la SEC y el Coordinador.</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El sudeste asiático entra en la agenda de Kast y ProChile lleva a la zona una nueva cita de negocios</w:t>
      </w:r>
    </w:p>
    <w:p>
      <w:pPr>
        <w:spacing w:before="40" w:after="60"/>
        <w:ind w:left="283"/>
      </w:pPr>
      <w:r>
        <w:rPr>
          <w:rFonts w:ascii="Arial" w:hAnsi="Arial"/>
          <w:color w:val="404040"/>
          <w:sz w:val="21"/>
        </w:rPr>
        <w:t>ProChile liderará entre el 26 y 30 de mayo la segunda misión comercial del gobierno de Kast hacia la ASEAN, con una delegación de 28 empresas y cinco gremios que visitará Bangkok para participar en más de 300 reuniones de negocios con importadores y contrapartes del bloque de 680 millones de personas que representa el 7,8% del comercio global. El comercio bilateral entre Chile y la ASEAN ha crecido un 11,5% promedio anual entre 2020 y 2025, con exportaciones no cobre ni litio que alcanzaron los US$986 millones en 2025. ProChile estima que el potencial de crecimiento no aprovechado es enorme: US$1.200 millones adicionales en salmones, US$5.700 millones en fruta fresca y US$9.000 millones en carnes, además de oportunidades en servicios, tecnología y vinos. Las actividades incluirán ruedas de negocios, visitas técnicas a mercados, participación en la feria Thaifex y el evento Chile Wine Fest para consumidores finales.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Cuánto cambiaron los principales artículos de la ley miscelánea tras su paso por la Cámara de Diputados</w:t>
      </w:r>
    </w:p>
    <w:p>
      <w:pPr>
        <w:spacing w:before="40" w:after="60"/>
        <w:ind w:left="283"/>
      </w:pPr>
      <w:r>
        <w:rPr>
          <w:rFonts w:ascii="Arial" w:hAnsi="Arial"/>
          <w:color w:val="404040"/>
          <w:sz w:val="21"/>
        </w:rPr>
        <w:t>La Cámara de Diputados aprobó en primer trámite la ley miscelánea sin alterar su corazón, aunque sí introdujo ajustes relevantes en sus principales artículos. En invariabilidad tributaria para proyectos sobre US$50 millones, se designó al Ministerio de Hacienda como contraparte del contrato ley en lugar de Invest Chile, se creó un mecanismo de arbitraje mixto forzoso y se excluyeron los impuestos indirectos salvo las importaciones de bienes de capital. El crédito tributario al empleo fue reformulado con tasas diferenciadas según género y edad: desde un 13% para hombres mayores de 25 años hasta un 16,5% para mujeres jóvenes, con el objetivo de reducir el costo fiscal original de US$1.400 millones anuales. En materia ambiental, el mecanismo de compensación por RCA anuladas judicialmente quedó restringido a resoluciones otorgadas y anuladas desde la vigencia de la ley, y el plazo de reclamo se redujo de 20 a 15 días hábiles.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Primer apronte del turismo de invierno: menos visitantes y los brasileños como protagonistas</w:t>
      </w:r>
    </w:p>
    <w:p>
      <w:pPr>
        <w:spacing w:before="40" w:after="60"/>
        <w:ind w:left="283"/>
      </w:pPr>
      <w:r>
        <w:rPr>
          <w:rFonts w:ascii="Arial" w:hAnsi="Arial"/>
          <w:color w:val="404040"/>
          <w:sz w:val="21"/>
        </w:rPr>
        <w:t>Fedetur proyecta la llegada de 1,3 millones de turistas extranjeros durante la temporada de invierno 2026 (junio-septiembre), cifra inferior en unas 300.000 personas respecto al mismo período del año anterior, lo que la entidad atribuye a una insuficiente promoción turística internacional. Brasil seguirá siendo el principal mercado emisor con 349.555 visitantes proyectados, aunque con una caída del 6% atribuida al desvío de demanda hacia la Copa Mundial de Fútbol en Norteamérica y a la percepción de Chile como destino caro, con inflación del 4,2% y tasas de crédito de viaje del 15%. Estados Unidos y Europa, en cambio, crecerían un 13% y 12% respectivamente, atraídos por el turismo de aventura, enoturismo y turismo verde. Julio será el mes de mayor afluencia con 404.100 visitantes, y los centros de nieve del sur como Corralco y Antillanca esperan niveles de ocupación cercanos al 90%.</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otro impacto de la reducción de jornada: aumenta cantidad de trabajadores que hacen horas extras</w:t>
      </w:r>
    </w:p>
    <w:p>
      <w:pPr>
        <w:spacing w:before="40" w:after="60"/>
        <w:ind w:left="283"/>
      </w:pPr>
      <w:r>
        <w:rPr>
          <w:rFonts w:ascii="Arial" w:hAnsi="Arial"/>
          <w:color w:val="404040"/>
          <w:sz w:val="21"/>
        </w:rPr>
        <w:t>Un análisis de la plataforma Buk basado en más de 11.100 empresas y 400.000 contratos mensuales reveló que la segunda etapa de la Ley de 40 Horas —reducción de 44 a 42 horas semanales— replicó el patrón de cumplimiento de la primera: solo el 9% de los contratos ya tenía 42 horas en marzo, pero en abril, cuando el cambio se volvió obligatorio, el porcentaje saltó al 40%, liderado por las grandes empresas con un 57% de contratos ajustados. Uno de los efectos secundarios más relevantes fue el aumento en el uso de horas extraordinarias: el porcentaje de trabajadores con al menos una hora extra mensual subió desde un 20,9% previo a la reforma hasta un 24,2%, y desde la segunda mitad de 2025 el promedio por trabajador trepó a entre 13 y 15 horas mensuales. Esto implica un alza estructural en los costos laborales, especialmente sensible para empresas con márgenes estrechos. El rubro de alojamiento y servicios de comida lideró la adaptación con un 65,6% de personal en 42 horas, mientras la industria manufacturera quedó rezagada con solo un 39% de cumplimiento.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Lionel Messi logra los US$ 1.000 millones en patrimonio: se une a Cristiano Ronaldo como los únicos futbolistas en lograrlo</w:t>
      </w:r>
    </w:p>
    <w:p>
      <w:pPr>
        <w:spacing w:before="40" w:after="60"/>
        <w:ind w:left="283"/>
      </w:pPr>
      <w:r>
        <w:rPr>
          <w:rFonts w:ascii="Arial" w:hAnsi="Arial"/>
          <w:color w:val="404040"/>
          <w:sz w:val="21"/>
        </w:rPr>
        <w:t>Lionel Messi alcanzó un patrimonio neto de US$1.000 millones según el Bloomberg Billionaires Index, convirtiéndose en el segundo futbolista en lograr este hito tras Cristiano Ronaldo, quien lo consiguió después de su fichaje al Al-Nassr en 2023 con ingresos de US$200 millones anuales libres de impuestos. La fortuna de Messi se construyó sobre más de US$700 millones en salarios y bonificaciones desde su etapa en el FC Barcelona en 2007, complementados con ingresos por patrocinios, inversiones inmobiliarias, una cadena de restaurantes y derechos televisivos vinculados a su contrato con el Inter de Miami. El argentino rechazó en su momento una oferta de Arabia Saudita por cerca de US$400 millones anuales, declarando que el dinero nunca fue un obstáculo para sus decisiones. Su contrato con Miami incluyó además una opción inusual de participación accionaria en el club de David Beckham.</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JPMorgan busca transferir exposición ligada a US$ 4 mil millones en préstamos vinculados a private equity</w:t>
      </w:r>
    </w:p>
    <w:p>
      <w:pPr>
        <w:spacing w:before="40" w:after="60"/>
        <w:ind w:left="283"/>
      </w:pPr>
      <w:r>
        <w:rPr>
          <w:rFonts w:ascii="Arial" w:hAnsi="Arial"/>
          <w:color w:val="404040"/>
          <w:sz w:val="21"/>
        </w:rPr>
        <w:t>JPMorgan está negociando con inversionistas la transferencia del riesgo de más de US$4.000 millones en préstamos NAV (net asset value loans) respaldados por activos de fondos de private equity, buscando reducir su exposición a una industria que enfrenta dificultades prolongadas para concretar salidas de inversiones y presiones sobre valoraciones tecnológicas por el impacto de la inteligencia artificial. Bajo la estructura propuesta, el banco transferiría el riesgo de pérdidas de hasta un 12,5% de la cartera, ofreciendo retornos de bajos dos dígitos a los inversionistas que absorban la primera pérdida sobre decenas de préstamos en Norteamérica, Europa y Medio Oriente. El mercado de préstamos NAV, actualmente cercano a US$100.000 millones, podría crecer hasta US$350.000 millones hacia 2030 según AllianceBernstein, aunque reguladores de EE.UU. y Europa han advertido sobre riesgos de apalancamiento excesivo sobre carteras que ya mantienen elevada deuda. Mitsubishi UFJ Financial Group también está ejecutando una operación similar.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EAU se suma a Arabia Saudita y Qatar para pedir a Trump que no reinicie la guerra con Irán</w:t>
      </w:r>
    </w:p>
    <w:p>
      <w:pPr>
        <w:spacing w:before="40" w:after="60"/>
        <w:ind w:left="283"/>
      </w:pPr>
      <w:r>
        <w:rPr>
          <w:rFonts w:ascii="Arial" w:hAnsi="Arial"/>
          <w:color w:val="404040"/>
          <w:sz w:val="21"/>
        </w:rPr>
        <w:t>Emiratos Árabes Unidos, Arabia Saudita y Qatar han intensificado gestiones diplomáticas ante Donald Trump para evitar una reanudación de las hostilidades con Irán, argumentando en llamadas separadas que una acción militar no logrará los objetivos históricos de Washington y que una segunda ronda de conflicto hundiría a las economías del Golfo en el caos, repitiendo el escenario vivido entre fines de febrero y el alto el fuego de comienzos de abril. EAU representa un giro diplomático notable, ya que fue el país que sufrió el mayor impacto de los ataques iraníes y había mantenido una posición más dura frente a Teherán, incluso participando en ataques coordinados contra Irán junto a EE.UU. e Israel. Arabia Saudita y Qatar respaldan la mediación pakistaní y propugnan que EE.UU. se concentre en lograr la reapertura del estrecho de Ormuz mediante presión naval antes que ataques militares. El secretario de Estado Marco Rubio señaló un leve avance en las negociaciones, aunque tanto EE.UU. como Irán mantienen señales de disposición a reanudar hostilidades si las conversaciones fracasan.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Xi Jinping transforma a Beijing en la capital de la diplomacia mundial</w:t>
      </w:r>
    </w:p>
    <w:p>
      <w:pPr>
        <w:spacing w:before="40" w:after="60"/>
        <w:ind w:left="283"/>
      </w:pPr>
      <w:r>
        <w:rPr>
          <w:rFonts w:ascii="Arial" w:hAnsi="Arial"/>
          <w:color w:val="404040"/>
          <w:sz w:val="21"/>
        </w:rPr>
        <w:t>China ha emergido como el epicentro de la diplomacia mundial en 2026, con Xi Jinping habiendo recibido a 10 jefes de Estado y un príncipe heredero en los primeros cinco meses del año, incluyendo en una misma semana a Donald Trump y Vladimir Putin, hecho calificado como inusual en la era posterior a la Guerra Fría. Beijing busca consolidar su rol de árbitro geopolítico global, pasando de ser un actor comercial indispensable a mediador activo en conflictos como la guerra en Medio Oriente —donde presentó una propuesta de cuatro puntos para el cese de hostilidades, acogida positivamente por EAU e Irán— y en el conflicto en Ucrania, donde el canciller alemán Merz lo posicionó esta semana como actor clave para influenciar a Putin. Xi ha promovido en cada visita su visión de un orden internacional multipolar basado en coexistencia pacífica, soberanía nacional y derecho internacional, suscribiendo acuerdos bilaterales con contrapartes de todo el mundo. El resurgimiento diplomático chino contrasta con el aislamiento que sufrió el país durante el Covid-19 hace apenas cinco años.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Pedro Lerner, CEO de Grupo Unacem: “Vemos crecimiento en Chile, Ecuador y EEUU, además de Perú, por la recuperación del sector construcción”</w:t>
      </w:r>
    </w:p>
    <w:p>
      <w:pPr>
        <w:spacing w:before="40" w:after="60"/>
        <w:ind w:left="283"/>
      </w:pPr>
      <w:r>
        <w:rPr>
          <w:rFonts w:ascii="Arial" w:hAnsi="Arial"/>
          <w:color w:val="404040"/>
          <w:sz w:val="21"/>
        </w:rPr>
        <w:t>En medio del repunte del sector de construcción en Perú, el ejecutivo abordó los proyectos que la compañía impulsa junto al mexicano Grupo Calidra y los avances de su expansión en Chile tras la alianza con Cementos Transex. Tras cerrar 2025 con un crecimiento de 2,6% en sus ingresos, impulsado por la resiliencia de las operaciones en Latinoamérica,el grupo cementero Unaceminició el primer trimestre del año con resultados que superaron las expectativas. Entre enero y marzo de este año,la compañía registró ingresos consolidados por 1.789 millones de soles peruanos (US$ 483,5 millones), un alza de 7,1%frente al mismo periodo del año anterior, explicado por mayores operaciones de cemento tanto en el mercado local como en Ecuador.</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Inauguran en Chile laboratorio de simulación para medir resiliencia de materiales de construcción al cambio climático</w:t>
      </w:r>
    </w:p>
    <w:p>
      <w:pPr>
        <w:spacing w:before="40" w:after="60"/>
        <w:ind w:left="283"/>
      </w:pPr>
      <w:r>
        <w:rPr>
          <w:rFonts w:ascii="Arial" w:hAnsi="Arial"/>
          <w:color w:val="404040"/>
          <w:sz w:val="21"/>
        </w:rPr>
        <w:t>El Idiem de la Universidad de Chile inauguró en abril el primer laboratorio de América Latina dedicado a simular escenarios meteorológicos extremos —lluvias torrenciales, vientos fuertes y fluctuaciones de temperatura y humedad— para evaluar la resiliencia y durabilidad de materiales y soluciones constructivas frente al cambio climático, ubicado en el Parque de Innovación del CTEC en Laguna Carén, Pudahuel. La iniciativa fue desarrollada con financiamiento de Corfo en el marco del programa Construye Zero, en colaboración con el CTEC y Polpaico, y actualmente se encuentra en fase inicial de pruebas en un galpón aislado de 30 metros cuadrados. El laboratorio está orientado a generar futuros estándares y certificaciones de resiliencia climática para materiales constructivos, con la ambición de convertirlos en exigencias normativas similares a la Calificación Energética de Viviendas. Su objetivo central es proveer a las empresas del sector de información que les permita agregar atributos de valor a sus productos y mejorar su competitividad en un contexto de construcción cada vez más exigente.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22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