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5 De Junio De 2026</w:t>
      </w:r>
    </w:p>
    <w:p>
      <w:pPr>
        <w:jc w:val="center"/>
      </w:pPr>
      <w:r>
        <w:rPr>
          <w:rFonts w:ascii="Arial" w:hAnsi="Arial"/>
          <w:color w:val="999999"/>
          <w:sz w:val="20"/>
        </w:rPr>
        <w:t>6 secciones  ·  38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IPSA sube en medio de la tormenta global de mercados por datos de empleo más sólidos de lo esperado en EEUU</w:t>
      </w:r>
    </w:p>
    <w:p>
      <w:pPr>
        <w:spacing w:before="40" w:after="60"/>
        <w:ind w:left="283"/>
      </w:pPr>
      <w:r>
        <w:rPr>
          <w:rFonts w:ascii="Arial" w:hAnsi="Arial"/>
          <w:color w:val="404040"/>
          <w:sz w:val="21"/>
        </w:rPr>
        <w:t>El S&amp;P IPSA revirtió una baja matinal y avanzó 0,3% a 10.334,75 puntos, apoyado en acciones como Bci (+1,9%) y Mallplaza (+1,8%), mientras Wall Street caía con fuerza (Nasdaq -2,6%, S&amp;P 500 -1,5%). El detonante fue el informe laboral de mayo en EEUU, con 172.000 nuevas nóminas frente a las 88.000 esperadas, elevando bruscamente las expectativas de alza de tasas de la Fed. Los mercados descuentan 50% de probabilidad de un alza de 25 pb en septiembre y 70% para octubre, mientras el petróleo Brent se mantiene en torno a US$95/barril sin avances en las negociaciones para reabrir el estrecho de Ormuz.</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Dólar se dispara más de $ 20 y se acerca a $ 920 tras reporte de empleo en EEUU que superó las expectativas del mercado</w:t>
      </w:r>
    </w:p>
    <w:p>
      <w:pPr>
        <w:spacing w:before="40" w:after="60"/>
        <w:ind w:left="283"/>
      </w:pPr>
      <w:r>
        <w:rPr>
          <w:rFonts w:ascii="Arial" w:hAnsi="Arial"/>
          <w:color w:val="404040"/>
          <w:sz w:val="21"/>
        </w:rPr>
        <w:t>El dólar se disparó $21,2 hasta los $918, convirtiendo al peso chileno en la divisa con peor desempeño del mundo según Bloomberg, mientras el cobre Comex caía 3,9% a US$6,28 por libra. Los economistas atribuyen el golpe al peso a la combinación de una huida global hacia activos seguros, la caída del cobre y la casi certeza de un nuevo ciclo de alzas de la Fed que reduciría el carry de la moneda local. A esto se suma que los cuatro primeros indicadores mensuales de actividad en Chile resultaron contractivos y el contexto macroeconómico local es restrictivo, acentuando la presión sobre el tipo de cambio.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Aníbal Mosa declara exitosa su OPA y se transforma en el máximo accionista de ByN</w:t>
      </w:r>
    </w:p>
    <w:p>
      <w:pPr>
        <w:spacing w:before="40" w:after="60"/>
        <w:ind w:left="283"/>
      </w:pPr>
      <w:r>
        <w:rPr>
          <w:rFonts w:ascii="Arial" w:hAnsi="Arial"/>
          <w:color w:val="404040"/>
          <w:sz w:val="21"/>
        </w:rPr>
        <w:t>Aníbal Mosa, presidente de Blanco y Negro (administradora de Colo-Colo), completó exitosamente su segunda OPA comprando 33.795.192 acciones serie B a $162 por acción, elevando su participación a 72,6% a través de Inversiones Panitao Limitada. La operación selló además la salida total del empresario Leonidas Vial, quien participaba en la sociedad desde 2005 y aceptó la oferta a través de Rentas ST Limitada. Mosa, que ingresó a la sociedad en 2010 adquiriendo acciones del expresidente Piñera, consolida así el control absoluto del directorio de la concesionaria.</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Grupo Pampa invierte más de US$ 60 millones en SQM a través de nuevas operaciones en el mercado esta semana</w:t>
      </w:r>
    </w:p>
    <w:p>
      <w:pPr>
        <w:spacing w:before="40" w:after="60"/>
        <w:ind w:left="283"/>
      </w:pPr>
      <w:r>
        <w:rPr>
          <w:rFonts w:ascii="Arial" w:hAnsi="Arial"/>
          <w:color w:val="404040"/>
          <w:sz w:val="21"/>
        </w:rPr>
        <w:t>Oro Blanco, vehículo del grupo Ponce, adquirió 486.177 acciones serie B de SQM en cuatro operaciones entre el miércoles y el jueves, pagando cerca de $34.500 millones y elevando su participación a 16,25%. Esto se suma a compras de la semana anterior por más de 300.000 acciones (~$22.000 millones), totalizando más de US$60 millones en la semana. La ola de inversiones comenzó tras los resultados del Q1 2026 de SQM, que sorprendieron al alza en Ebitda y mejoraron las proyecciones de volumen de litio, en un contexto de repunte de precios del mineral.</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TC declara inadmisible requerimiento de las AFP en contra de la Superintendencia de Pensiones</w:t>
      </w:r>
    </w:p>
    <w:p>
      <w:pPr>
        <w:spacing w:before="40" w:after="60"/>
        <w:ind w:left="283"/>
      </w:pPr>
      <w:r>
        <w:rPr>
          <w:rFonts w:ascii="Arial" w:hAnsi="Arial"/>
          <w:color w:val="404040"/>
          <w:sz w:val="21"/>
        </w:rPr>
        <w:t>La primera sala del Tribunal Constitucional declaró inadmisible el requerimiento de inaplicabilidad por inconstitucionalidad presentado por seis AFP contra la Norma de Carácter General N°354, que eleva los requisitos para directores y equipos de inversión de las administradoras. El TC señaló que la controversia es de "mera legalidad" —si la Superintendencia excedió sus competencias— y no configura un conflicto constitucional plausible, por lo que corresponde resolverlo al juez de fondo. La causa continuará en la Corte de Apelaciones de Santiago y la norma, emitida en enero de 2026, entrará en vigor en 2027.</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El apetito de la industria de fondos por el mandato del Fondo Autónomo de Protección Previsional</w:t>
      </w:r>
    </w:p>
    <w:p>
      <w:pPr>
        <w:spacing w:before="40" w:after="60"/>
        <w:ind w:left="283"/>
      </w:pPr>
      <w:r>
        <w:rPr>
          <w:rFonts w:ascii="Arial" w:hAnsi="Arial"/>
          <w:color w:val="404040"/>
          <w:sz w:val="21"/>
        </w:rPr>
        <w:t>El FAPP recibirá este domingo ofertas para dos contratos de gestión de renta fija nacional —corto y largo plazo— sobre una cartera de aproximadamente US$5.000 millones hacia 2031. Al menos nueve gestoras nacionales e internacionales —entre ellas Santander AM, BICE Inversiones, Banchile, Bci AM, BTG Pactual, Credicorp Capital, JP Morgan AM, Vanguard y BlackRock— sostuvieron reuniones previas con el director ejecutivo Sergio Soto y el encargado de inversiones Cristián Cavada. Las bases evalúan desempeño histórico, metodología de inversión, capacidad operativa, control de riesgos y precio de la oferta en un proceso descrito como "muy riguroso" por los participantes.</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Baja de tarifas, proveedor tecnológico externo y reducción de gastos: la hoja de ruta de Transbank mientras concreta su venta</w:t>
      </w:r>
    </w:p>
    <w:p>
      <w:pPr>
        <w:spacing w:before="40" w:after="60"/>
        <w:ind w:left="283"/>
      </w:pPr>
      <w:r>
        <w:rPr>
          <w:rFonts w:ascii="Arial" w:hAnsi="Arial"/>
          <w:color w:val="404040"/>
          <w:sz w:val="21"/>
        </w:rPr>
        <w:t>Transbank ejecuta un plan estratégico de tres ejes liderado por su gerente general Sergio Ávila: reducción de tarifas (crédito 2,35% y débito-prepago 1,75%), externalización tecnológica a la firma puertorriqueña Evertec (firmada en mayo 2026) y ajuste de gastos en alianzas y ámbitos operacionales. El proceso de venta, que se ha demorado más de lo esperado, ahora está en manos de la boutique peruana LXG Capital en reemplazo de JPMorgan, y Banco de Chile habría evaluado realizar una oferta. Un obstáculo regulatorio relevante es que Transbank, como sociedad de apoyo al giro bancario, no puede incursionar en nuevos negocios sin transformarse en sociedad anónima especial.</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Los dispares resultados de las otras firmas selectas en Chile: 15 reportaron alzas de utilidades, tres vieron caídas y siete sufrieron pérdidas</w:t>
      </w:r>
    </w:p>
    <w:p>
      <w:pPr>
        <w:spacing w:before="40" w:after="60"/>
        <w:ind w:left="283"/>
      </w:pPr>
      <w:r>
        <w:rPr>
          <w:rFonts w:ascii="Arial" w:hAnsi="Arial"/>
          <w:color w:val="404040"/>
          <w:sz w:val="21"/>
        </w:rPr>
        <w:t>Entre las 25 empresas del IGPA que no integran el IPSA, las de mejor desempeño en el Q1 2026 fueron AAISA (filial de ILC y Prudential, +260%) y Oro Blanco (que triplicó su utilidad gracias a SQM). Bicecorp creció 77% tras la fusión con Security y firmas como Sigdo Koppers, nuam e Ingevec subieron alrededor de 50%. En promedio, las 18 empresas con ganancias crecieron 49% (mediana 35%), mientras siete reportaron pérdidas, con Multiexport pasando de ganancia a pérdida y Masisa deteriorando su resultado respecto de 2025.</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FNE da luz verde para que SKY Airline pase a formar parte del Grupo Abra</w:t>
      </w:r>
    </w:p>
    <w:p>
      <w:pPr>
        <w:spacing w:before="40" w:after="60"/>
        <w:ind w:left="283"/>
      </w:pPr>
      <w:r>
        <w:rPr>
          <w:rFonts w:ascii="Arial" w:hAnsi="Arial"/>
          <w:color w:val="404040"/>
          <w:sz w:val="21"/>
        </w:rPr>
        <w:t>La Fiscalía Nacional Económica aprobó la adquisición de SKY Airline —controlada por la familia Paulmann Mast— por parte de Abra Group (matriz de Avianca, Gol y Wamos Air) tras cinco meses de investigación, concluyendo que no afecta sustancialmente la competencia en transporte aéreo de pasajeros, carga y arriendo de aeronaves. Las partes se comprometieron a medidas de mitigación: 24 meses de restricción de no competencia y límite en traspaso de ejecutivos clave. La operación tiene origen en un bono convertible de US$100 millones que Abra otorgó a SKY durante la pandemia, y aún requiere la aprobación del regulador peruano Indecopi.</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Chile no va al Mundial, pero los chilenos sí: un 49% de los viajeros prioriza visitar las ciudades anfitrionas</w:t>
      </w:r>
    </w:p>
    <w:p>
      <w:pPr>
        <w:spacing w:before="40" w:after="60"/>
        <w:ind w:left="283"/>
      </w:pPr>
      <w:r>
        <w:rPr>
          <w:rFonts w:ascii="Arial" w:hAnsi="Arial"/>
          <w:color w:val="404040"/>
          <w:sz w:val="21"/>
        </w:rPr>
        <w:t>A seis días del inicio del Mundial 2026, cuyo partido inaugural enfrenta a México y Sudáfrica, el 49% de los viajeros chilenos está motivado por visitar las ciudades sede —más del doble del promedio regional de 23%— pese a la tercera ausencia consecutiva de La Roja. Nueva York lidera las preferencias con 27%, seguida de San Francisco (13%) y Vancouver (9%). Según estudio de Chubb, el viajero chileno —donde solo 21% se declara muy fanático del fútbol— prioriza la experiencia turística sobre el fervor deportivo, un perfil diferenciado dentro de Latinoamérica.</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Consejo de Monumentos destraba proyectos por US$ 7.600 millones y gobierno asegura que ha aumentado un 40% la revisión de expedientes</w:t>
      </w:r>
    </w:p>
    <w:p>
      <w:pPr>
        <w:spacing w:before="40" w:after="60"/>
        <w:ind w:left="283"/>
      </w:pPr>
      <w:r>
        <w:rPr>
          <w:rFonts w:ascii="Arial" w:hAnsi="Arial"/>
          <w:color w:val="404040"/>
          <w:sz w:val="21"/>
        </w:rPr>
        <w:t>El Consejo de Monumentos Nacionales aprobó en su sesión del 3 de junio acuerdos para destrabar 13 proyectos de inversión por US$7.600 millones, destacando el Proyecto TED de Extracción Directa de Litio (US$3.100M), la expansión de Los Pelambres (US$2.000M) y el complejo NorQuim de metanol (US$1.200M). Entre marzo y junio el organismo revisó 1.569 expedientes en siete sesiones, un 40% más que en el mismo período de gobiernos anteriores. El CMN mantendrá sesiones más frecuentes el resto del año y la próxima jornada técnica será el 10 de junio con ocho proyectos adicionales.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Raízen, dueña de Shell en Argentina, vende su negocio en ese país al grupo suizo Mercuria por US$ 1.420 millones</w:t>
      </w:r>
    </w:p>
    <w:p>
      <w:pPr>
        <w:spacing w:before="40" w:after="60"/>
        <w:ind w:left="283"/>
      </w:pPr>
      <w:r>
        <w:rPr>
          <w:rFonts w:ascii="Arial" w:hAnsi="Arial"/>
          <w:color w:val="404040"/>
          <w:sz w:val="21"/>
        </w:rPr>
        <w:t>Raízen Energía, filial del productor brasileño de azúcar y etanol Raízen, firmó la venta de todas sus operaciones de downstream en Argentina —incluyendo la refinería de Dock Sud, 894 estaciones de servicio Shell, dos aeroplantas y dos terminales de combustibles— al grupo suizo Mercuria Energy Group por US$1.420 millones. El comprador asumirá además la deuda de Raízen Argentina. La transacción se enmarca en la estrategia de Raízen de simplificar su estructura operativa y concentrarse en mercados estratégicos, destinando los fondos a la gestión de capital del grupo.</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Alcaldes de La Serena y de Puerto Montt piden a Presidente Kast flexibilizar Ley de Casinos y acortar distancia mínima entre establecimientos</w:t>
      </w:r>
    </w:p>
    <w:p>
      <w:pPr>
        <w:spacing w:before="40" w:after="60"/>
        <w:ind w:left="283"/>
      </w:pPr>
      <w:r>
        <w:rPr>
          <w:rFonts w:ascii="Arial" w:hAnsi="Arial"/>
          <w:color w:val="404040"/>
          <w:sz w:val="21"/>
        </w:rPr>
        <w:t>Los alcaldes de La Serena (Daniela Norambuena) y Puerto Montt (Rodrigo Wainraight) solicitaron formalmente al Presidente Kast reducir la distancia mínima entre casinos de juego de 70 a 50 kilómetros, argumentando que la norma vigente ya no refleja la realidad territorial de ciudades que hoy cuentan con población e infraestructura suficientes. La medida permitiría que más comunas accedan a evaluar proyectos de inversión en casinos, con potencial impacto en recaudación municipal, generación de empleo e inversión privada. Los alcaldes presentaron la solicitud mediante carta formal al mandatario.</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CAP y AZA confirman asociación para reactivar Huachipato con producción de acero verde: transacción fue valorizada en US$ 484 millones</w:t>
      </w:r>
    </w:p>
    <w:p>
      <w:pPr>
        <w:spacing w:before="40" w:after="60"/>
        <w:ind w:left="283"/>
      </w:pPr>
      <w:r>
        <w:rPr>
          <w:rFonts w:ascii="Arial" w:hAnsi="Arial"/>
          <w:color w:val="404040"/>
          <w:sz w:val="21"/>
        </w:rPr>
        <w:t>Grupo CAP y Aceros AZA firmaron acuerdo para combinar sus negocios siderúrgicos con una valorización total de US$484 millones: AZA aportará sus dos plantas en la Región Metropolitana y su red nacional de chatarra (valuados en US$354M) y liderará la nueva empresa con 85% de propiedad, mientras CAP recibirá US$130M en contraprestación —incluyendo 15% accionario, US$25M en efectivo y US$42,5M contingentes— ligada a la reconversión de activos de Huachipato. El modelo productivo estará basado en hornos eléctricos y energía 100% renovable para producir acero verde, revirtiendo casi 15 años de pérdidas. La operación está sujeta a aprobación de la FNE.</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¿Una tendencia que llegó para quedarse? Las razones detrás de las divisiones de estudios jurídicos y la salida de socios</w:t>
      </w:r>
    </w:p>
    <w:p>
      <w:pPr>
        <w:spacing w:before="40" w:after="60"/>
        <w:ind w:left="283"/>
      </w:pPr>
      <w:r>
        <w:rPr>
          <w:rFonts w:ascii="Arial" w:hAnsi="Arial"/>
          <w:color w:val="404040"/>
          <w:sz w:val="21"/>
        </w:rPr>
        <w:t>La movilidad de socios y las escisiones en firmas legales chilenas se aceleran por el recambio generacional, el crecimiento del mercado y la presión sobre los márgenes de firmas medianas con estructuras costosas y modelos de cobro por hora. Expertos señalan que los socios se han convertido en unidades económicas independientes cuya reputación ya no está ligada a la firma, fenómeno que se aceleró desde la salida de Roberto Guerrero de Guerrero Olivos a Cuatrecasas. La irrupción de la IA es identificada como el factor más disruptivo pendiente, que reducirá las tareas rutinarias y empujará hacia modelos más pequeños, especializados y tecnológicamente intensivos.</w:t>
      </w:r>
    </w:p>
    <w:p>
      <w:pPr>
        <w:pBdr>
          <w:bottom w:val="single" w:sz="4" w:space="1" w:color="BDD7EE"/>
        </w:pBdr>
        <w:spacing w:before="80" w:after="80"/>
      </w:pPr>
    </w:p>
    <w:p>
      <w:pPr>
        <w:pStyle w:val="Heading2"/>
        <w:spacing w:before="200" w:after="80"/>
      </w:pPr>
      <w:r>
        <w:rPr>
          <w:rFonts w:ascii="Arial" w:hAnsi="Arial"/>
          <w:b/>
          <w:color w:val="2E75B6"/>
          <w:sz w:val="22"/>
        </w:rPr>
        <w:t xml:space="preserve">9.  </w:t>
      </w:r>
      <w:r>
        <w:rPr>
          <w:rFonts w:ascii="Arial" w:hAnsi="Arial"/>
          <w:b/>
          <w:color w:val="1F4E79"/>
          <w:sz w:val="22"/>
        </w:rPr>
        <w:t>Lathrop Blanco vuelve a sus orígenes al cumplir una década</w:t>
      </w:r>
    </w:p>
    <w:p>
      <w:pPr>
        <w:spacing w:before="40" w:after="60"/>
        <w:ind w:left="283"/>
      </w:pPr>
      <w:r>
        <w:rPr>
          <w:rFonts w:ascii="Arial" w:hAnsi="Arial"/>
          <w:color w:val="404040"/>
          <w:sz w:val="21"/>
        </w:rPr>
        <w:t>La firma legal Lathrop Blanco anunció el retorno a su nombre original al cumplir diez años de operaciones, como reafirmación del proyecto boutique fundado en 2015 por Catherine Lathrop y Margarita Blanco. La oficina se especializa en gobierno corporativo, litigios civiles y comerciales, arbitrajes y litigación penal compleja, con participación directa de las fundadoras en cada asunto. El cambio no implica modificaciones estructurales sino una señal de identidad y continuidad del modelo de práctica construido durante la última década.</w:t>
      </w:r>
    </w:p>
    <w:p>
      <w:pPr>
        <w:pBdr>
          <w:bottom w:val="single" w:sz="4" w:space="1" w:color="BDD7EE"/>
        </w:pBdr>
        <w:spacing w:before="80" w:after="80"/>
      </w:pPr>
    </w:p>
    <w:p>
      <w:pPr>
        <w:pStyle w:val="Heading2"/>
        <w:spacing w:before="200" w:after="80"/>
      </w:pPr>
      <w:r>
        <w:rPr>
          <w:rFonts w:ascii="Arial" w:hAnsi="Arial"/>
          <w:b/>
          <w:color w:val="2E75B6"/>
          <w:sz w:val="22"/>
        </w:rPr>
        <w:t xml:space="preserve">10.  </w:t>
      </w:r>
      <w:r>
        <w:rPr>
          <w:rFonts w:ascii="Arial" w:hAnsi="Arial"/>
          <w:b/>
          <w:color w:val="1F4E79"/>
          <w:sz w:val="22"/>
        </w:rPr>
        <w:t>Jorge Matetic, presidente de AZA, espera revertir pérdidas de Huachipato: “Nosotros tenemos una tecnología distinta”</w:t>
      </w:r>
    </w:p>
    <w:p>
      <w:pPr>
        <w:spacing w:before="40" w:after="60"/>
        <w:ind w:left="283"/>
      </w:pPr>
      <w:r>
        <w:rPr>
          <w:rFonts w:ascii="Arial" w:hAnsi="Arial"/>
          <w:color w:val="404040"/>
          <w:sz w:val="21"/>
        </w:rPr>
        <w:t>El líder del directorio de la firma que adquirirá los activos siderúrgicos de CAP se declaró “muy entusiasmado por el proyecto” en la usina, cuya firma final es inminente. Jorge Matetic, presidente de AZA, con Hermann von Mühlenbrock, gerente general de la firma. El mercado espera atento el inminente anuncio deGrupo CAP y Aceros AZA, que,tal como adelantó DF,sellarán un acuerdo de asociación para resucitar la siderúrgica Huachipatoen una operación quesuperaría los US$ 400 millones de inversiónpor parte de la compañía controlada por las familias Matetic y Del Río. La noticia estaba contemplada para este jueves, pero al cierre de esta edición Grupo CAP aún no informaba del hecho a la Comisión para el Mercado Financiero.</w:t>
      </w:r>
    </w:p>
    <w:p>
      <w:pPr>
        <w:pBdr>
          <w:bottom w:val="single" w:sz="4" w:space="1" w:color="BDD7EE"/>
        </w:pBdr>
        <w:spacing w:before="80" w:after="80"/>
      </w:pPr>
    </w:p>
    <w:p>
      <w:pPr>
        <w:pStyle w:val="Heading2"/>
        <w:spacing w:before="200" w:after="80"/>
      </w:pPr>
      <w:r>
        <w:rPr>
          <w:rFonts w:ascii="Arial" w:hAnsi="Arial"/>
          <w:b/>
          <w:color w:val="2E75B6"/>
          <w:sz w:val="22"/>
        </w:rPr>
        <w:t xml:space="preserve">11.  </w:t>
      </w:r>
      <w:r>
        <w:rPr>
          <w:rFonts w:ascii="Arial" w:hAnsi="Arial"/>
          <w:b/>
          <w:color w:val="1F4E79"/>
          <w:sz w:val="22"/>
        </w:rPr>
        <w:t>Alejandro Chechilnitzky y Pablo Escobar dejan Guerrero Olivos y lanzan nueva firma tributaria</w:t>
      </w:r>
    </w:p>
    <w:p>
      <w:pPr>
        <w:spacing w:before="40" w:after="60"/>
        <w:ind w:left="283"/>
      </w:pPr>
      <w:r>
        <w:rPr>
          <w:rFonts w:ascii="Arial" w:hAnsi="Arial"/>
          <w:color w:val="404040"/>
          <w:sz w:val="21"/>
        </w:rPr>
        <w:t>Alejandro Chechilnitzky, ex socio de la práctica tributaria de Guerrero Olivos, y Pablo Escobar, abogado senior del mismo estudio, lanzaron Vector Blue, firma que integra asesoría legal, tributaria y contable bajo un modelo más preventivo y menos dependiente de las horas facturadas. La decisión responde a diferencias de visión sobre cómo debe evolucionar el negocio jurídico frente a los cambios tecnológicos: los socios buscan involucrar la función tributaria desde etapas tempranas de las operaciones y hacer uso intensivo de inteligencia artificial. La firma incluye también a la abogada Margarita Riveros y apunta a una relación más permanente con sus clientes.</w:t>
      </w:r>
    </w:p>
    <w:p>
      <w:pPr>
        <w:pBdr>
          <w:bottom w:val="single" w:sz="4" w:space="1" w:color="BDD7EE"/>
        </w:pBdr>
        <w:spacing w:before="80" w:after="80"/>
      </w:pPr>
    </w:p>
    <w:p>
      <w:pPr>
        <w:pStyle w:val="Heading2"/>
        <w:spacing w:before="200" w:after="80"/>
      </w:pPr>
      <w:r>
        <w:rPr>
          <w:rFonts w:ascii="Arial" w:hAnsi="Arial"/>
          <w:b/>
          <w:color w:val="2E75B6"/>
          <w:sz w:val="22"/>
        </w:rPr>
        <w:t xml:space="preserve">12.  </w:t>
      </w:r>
      <w:r>
        <w:rPr>
          <w:rFonts w:ascii="Arial" w:hAnsi="Arial"/>
          <w:b/>
          <w:color w:val="1F4E79"/>
          <w:sz w:val="22"/>
        </w:rPr>
        <w:t>Servicios sin director titular y fuga de asesores a Seguridad: las dificultades que enfrenta el MOP que heredó De Grange</w:t>
      </w:r>
    </w:p>
    <w:p>
      <w:pPr>
        <w:spacing w:before="40" w:after="60"/>
        <w:ind w:left="283"/>
      </w:pPr>
      <w:r>
        <w:rPr>
          <w:rFonts w:ascii="Arial" w:hAnsi="Arial"/>
          <w:color w:val="404040"/>
          <w:sz w:val="21"/>
        </w:rPr>
        <w:t>El Ministerio de Obras Públicas enfrenta una crisis de conducción tras la salida del ministro Martín Arrau al Ministerio de Seguridad el 19 de mayo, que se llevó a más de diez asesores clave, incluyendo dos de los tres responsables de destrabar las 70 obras prioritarias del período. El biministro Louis de Grange asumió una cartera con siete de sus ocho servicios sin director titular, ya que solo se han completado los nombramientos de Obras Públicas, Fiscalía del MOP y Planeamiento. Con solo tres concursos ADP iniciados (Concesiones, Obras Hidráulicas y Aguas), algunos servicios podrían llegar al último trimestre del año sin autoridad permanente.</w:t>
      </w:r>
    </w:p>
    <w:p>
      <w:pPr>
        <w:pBdr>
          <w:bottom w:val="single" w:sz="4" w:space="1" w:color="BDD7EE"/>
        </w:pBdr>
        <w:spacing w:before="80" w:after="80"/>
      </w:pPr>
    </w:p>
    <w:p>
      <w:pPr>
        <w:pStyle w:val="Heading2"/>
        <w:spacing w:before="200" w:after="80"/>
      </w:pPr>
      <w:r>
        <w:rPr>
          <w:rFonts w:ascii="Arial" w:hAnsi="Arial"/>
          <w:b/>
          <w:color w:val="2E75B6"/>
          <w:sz w:val="22"/>
        </w:rPr>
        <w:t xml:space="preserve">13.  </w:t>
      </w:r>
      <w:r>
        <w:rPr>
          <w:rFonts w:ascii="Arial" w:hAnsi="Arial"/>
          <w:b/>
          <w:color w:val="1F4E79"/>
          <w:sz w:val="22"/>
        </w:rPr>
        <w:t>Cristalchile levanta en Padre Hurtado la mayor planta de autoconsumo con tecnología bifacial del país</w:t>
      </w:r>
    </w:p>
    <w:p>
      <w:pPr>
        <w:spacing w:before="40" w:after="60"/>
        <w:ind w:left="283"/>
      </w:pPr>
      <w:r>
        <w:rPr>
          <w:rFonts w:ascii="Arial" w:hAnsi="Arial"/>
          <w:color w:val="404040"/>
          <w:sz w:val="21"/>
        </w:rPr>
        <w:t>Cristalchile, ligada al Grupo DF, inauguró en la comuna de Padre Hurtado una planta fotovoltaica bifacial de 3,0 MWp con generación anual estimada de 6,66 GWh, destinada al autoabastecimiento energético de su producción de envases de vidrio. Instalada en 60.000 m² por la empresa chilena Solarity, es la más grande del país en su tipo y usa paneles que captan energía por ambas caras mediante 72 seguidores solares. El proyecto representa una apuesta estratégica de largo plazo de Cristalchile por la descarbonización de su proceso industrial.</w:t>
      </w:r>
    </w:p>
    <w:p>
      <w:pPr>
        <w:pBdr>
          <w:bottom w:val="single" w:sz="4" w:space="1" w:color="BDD7EE"/>
        </w:pBdr>
        <w:spacing w:before="80" w:after="80"/>
      </w:pPr>
    </w:p>
    <w:p>
      <w:pPr>
        <w:pStyle w:val="Heading2"/>
        <w:spacing w:before="200" w:after="80"/>
      </w:pPr>
      <w:r>
        <w:rPr>
          <w:rFonts w:ascii="Arial" w:hAnsi="Arial"/>
          <w:b/>
          <w:color w:val="2E75B6"/>
          <w:sz w:val="22"/>
        </w:rPr>
        <w:t xml:space="preserve">14.  </w:t>
      </w:r>
      <w:r>
        <w:rPr>
          <w:rFonts w:ascii="Arial" w:hAnsi="Arial"/>
          <w:b/>
          <w:color w:val="1F4E79"/>
          <w:sz w:val="22"/>
        </w:rPr>
        <w:t>Chirgwin crea área especializada para proyectos estratégicos</w:t>
      </w:r>
    </w:p>
    <w:p>
      <w:pPr>
        <w:spacing w:before="40" w:after="60"/>
        <w:ind w:left="283"/>
      </w:pPr>
      <w:r>
        <w:rPr>
          <w:rFonts w:ascii="Arial" w:hAnsi="Arial"/>
          <w:color w:val="404040"/>
          <w:sz w:val="21"/>
        </w:rPr>
        <w:t>El estudio jurídico Chirgwin anunció la creación del Área de Proyectos Nacionales, que integra las especialidades de Energía, Minería y Recursos Naturales para acompañar iniciativas de inversión estratégica en Chile. La decisión responde a la creciente complejidad regulatoria, ambiental y territorial de los grandes proyectos y a la necesidad de mayor certeza jurídica. El área estará liderada por Mike Hantke (ex presidente del Tercer Tribunal Ambiental), Francisco Valle (especialista en minería y aguas) y Mónica Ortega (experta en derecho ambiental).</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"Motores Productivos Regionales": CPC e Inacap lanzan en Los Ríos segunda etapa de gira que propone políticas para la reactivación económica desde las regiones</w:t>
      </w:r>
    </w:p>
    <w:p>
      <w:pPr>
        <w:spacing w:before="40" w:after="60"/>
        <w:ind w:left="283"/>
      </w:pPr>
      <w:r>
        <w:rPr>
          <w:rFonts w:ascii="Arial" w:hAnsi="Arial"/>
          <w:color w:val="404040"/>
          <w:sz w:val="21"/>
        </w:rPr>
        <w:t>CPC e Inacap reunieron a más de 100 actores del sector privado, academia y público en Valdivia en mesas técnicas intersectoriales, entregando las conclusiones directamente al subsecretario de Economía Karlfranz Koehler como insumos para políticas públicas. La autoridad planteó como meta urgente crecer del 2% actual al 4% del PIB para generar 300.000 nuevos empleos al 2029, destacando la Ley Marco de Autorizaciones Sectoriales (Ley MAS) como herramienta que permitiría reducir entre 30% y 70% los tiempos de permisología. El rector de Inacap, Lucas Palacios, advirtió sobre el creciente desempleo ilustrado y la brecha entre la oferta educativa y las necesidades productivas de cada territorio.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Cordero cuestiona la postergación del debate sobre el secreto bancario luego de anuncio de Quiroz</w:t>
      </w:r>
    </w:p>
    <w:p>
      <w:pPr>
        <w:spacing w:before="40" w:after="60"/>
        <w:ind w:left="283"/>
      </w:pPr>
      <w:r>
        <w:rPr>
          <w:rFonts w:ascii="Arial" w:hAnsi="Arial"/>
          <w:color w:val="404040"/>
          <w:sz w:val="21"/>
        </w:rPr>
        <w:t>El exministro Luis Cordero criticó la propuesta del ministro de Hacienda Jorge Quiroz de impulsar una iniciativa separada sobre el secreto bancario, calificando de innecesaria cualquier postergación del debate. El proyecto de Subsistema de Inteligencia Económica empató 23-23 en la Sala del Senado, bloqueando su avance, en un contexto en que el allanamiento de la PDI a Banco Santander por vínculos con el Tren de Aragua visibilizó la urgencia de avanzar en la materia. Cordero defendió los resguardos del proyecto actual, subrayando que el acceso a información bancaria se limitaría exclusivamente a la Unidad de Análisis Financiero y no al Ministerio Público.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Secreto bancario: el artículo del proyecto de Subsistema de Inteligencia Económica que complica al gobierno</w:t>
      </w:r>
    </w:p>
    <w:p>
      <w:pPr>
        <w:spacing w:before="40" w:after="60"/>
        <w:ind w:left="283"/>
      </w:pPr>
      <w:r>
        <w:rPr>
          <w:rFonts w:ascii="Arial" w:hAnsi="Arial"/>
          <w:color w:val="404040"/>
          <w:sz w:val="21"/>
        </w:rPr>
        <w:t>El artículo que permite a la UAF solicitar información bancaria por vía administrativa —sin autorización judicial— en casos de operaciones sospechosas de personas jurídicas o funcionarios públicos generó un empate 23-23 en el Senado, trabando el avance del proyecto que lleva tres años en tramitación sin urgencia. El allanamiento de la PDI a una sucursal de Santander por presuntos vínculos con el Tren de Aragua impulsó la presión opositora para despachar el proyecto, pero el oficialismo se ha negado históricamente al levantamiento administrativo del secreto bancario. El ministro Quiroz anunció una posible iniciativa separada que siempre requeriría orden judicial, generando malestar incluso en su propio sector.</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Los salarios de los trabajadores chilenos se desaceleraron en abril producto de la mayor inflación</w:t>
      </w:r>
    </w:p>
    <w:p>
      <w:pPr>
        <w:spacing w:before="40" w:after="60"/>
        <w:ind w:left="283"/>
      </w:pPr>
      <w:r>
        <w:rPr>
          <w:rFonts w:ascii="Arial" w:hAnsi="Arial"/>
          <w:color w:val="404040"/>
          <w:sz w:val="21"/>
        </w:rPr>
        <w:t>El INE publicó que el Índice Nominal de Remuneraciones subió 5,7% y los costos laborales 6,4% en 12 meses a abril de 2026, con las mayores incidencias en comercio, construcción e industria manufacturera. Sin embargo, el Índice Real de Remuneraciones creció solo 1,7% interanual —desacelerándose desde el 2,3% de marzo— acumulando una caída de 0,4% en lo que va del año, lo que implica que la inflación erosionó los incrementos salariales entre enero y abril. La remuneración media por hora ordinaria se situó en $7.328, con una brecha de género de -5,2% en favor de los hombres.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Expresidente del CFA plantea ampliar atribuciones del organismo y ve probable que la deuda supere el 45%</w:t>
      </w:r>
    </w:p>
    <w:p>
      <w:pPr>
        <w:spacing w:before="40" w:after="60"/>
        <w:ind w:left="283"/>
      </w:pPr>
      <w:r>
        <w:rPr>
          <w:rFonts w:ascii="Arial" w:hAnsi="Arial"/>
          <w:color w:val="404040"/>
          <w:sz w:val="21"/>
        </w:rPr>
        <w:t>El expresidente del Consejo Fiscal Autónomo Jorge Rodríguez planteó modernizar el organismo dotándolo de más recursos para asumir tareas de proyección de deuda y certificación de informes financieros que hoy exceden su capacidad instalada. Frente al anuncio de Hacienda de solicitar US$6.200 millones adicionales de deuda, señaló que refuerza el diagnóstico de estrés fiscal del CFA y que es "muy probable" que la deuda pública supere el umbral prudencial de 45% del PIB en dos o tres años. Subrayó que la nueva deuda debe ir acompañada de un plan creíble y concreto de convergencia que el gobierno debe presentar por obligación legal el 9 de junio en el decreto de política fiscal.</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Dipres admite menores ingresos por ley miscelánea tras rechazo de diputados a terminar con franquicia Sence</w:t>
      </w:r>
    </w:p>
    <w:p>
      <w:pPr>
        <w:spacing w:before="40" w:after="60"/>
        <w:ind w:left="283"/>
      </w:pPr>
      <w:r>
        <w:rPr>
          <w:rFonts w:ascii="Arial" w:hAnsi="Arial"/>
          <w:color w:val="404040"/>
          <w:sz w:val="21"/>
        </w:rPr>
        <w:t>La Dirección de Presupuestos actualizó el informe financiero del proyecto misceláneo de reactivación, reconociendo un mayor deterioro fiscal al no computarse el ahorro de ~US$300 millones anuales que implicaba eliminar la franquicia tributaria del Sence, rechazada en la Cámara. El saldo neto del proyecto para el Fisco en 2031 se deteriora desde un déficit de $868.691 millones a $1.077.240 millones, y el punto de equilibrio positivo se posterga unos dos años. El ministro Quiroz descartó impuesto al patrimonio y a altas rentas, reiteró que perfeccionará la norma Sence en el Senado para generar ahorro menor que US$300M, y rechazó crear una mesa técnica con la oposición.</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Gracias a Codelco, empresas estatales hicieron en 2025 el mayor aporte al Fisco de los últimos cuatro años</w:t>
      </w:r>
    </w:p>
    <w:p>
      <w:pPr>
        <w:spacing w:before="40" w:after="60"/>
        <w:ind w:left="283"/>
      </w:pPr>
      <w:r>
        <w:rPr>
          <w:rFonts w:ascii="Arial" w:hAnsi="Arial"/>
          <w:color w:val="404040"/>
          <w:sz w:val="21"/>
        </w:rPr>
        <w:t>Las 28 empresas estatales transfirieron al Fisco US$3.312 millones en 2025, el mayor monto en cuatro años (+8,1% interanual), impulsadas principalmente por el salto de 131% en utilidades y dividendos distribuidos. Codelco lideró con US$1.779 millones (+16,8%), incluyendo US$200 millones en dividendos —inédito en el ejercicio previo— y pagos de impuesto específico 87,5% superiores. ENAP destacó con un aumento de 778% hasta US$434 millones, mientras BancoEstado cayó 42% a US$788 millones. En paralelo, los aportes del Estado hacia sus empresas se redujeron 29,3% a US$1.094 millones.</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Los inversionistas en bonos apuestan a que el "Tigre" colombiano recortará el gasto público</w:t>
      </w:r>
    </w:p>
    <w:p>
      <w:pPr>
        <w:spacing w:before="40" w:after="60"/>
        <w:ind w:left="283"/>
      </w:pPr>
      <w:r>
        <w:rPr>
          <w:rFonts w:ascii="Arial" w:hAnsi="Arial"/>
          <w:color w:val="404040"/>
          <w:sz w:val="21"/>
        </w:rPr>
        <w:t>Abelardo de la Espriella, candidato de derecha que obtuvo 44% en la primera vuelta de las presidenciales colombianas, genera optimismo en los mercados de renta fija ante la expectativa de un ajuste fiscal que revierta el déficit de más del 6% del PIB del gobierno Petro. El rendimiento del bono colombiano a 10 años cayó casi 0,9 puntos porcentuales en la semana a 12,3%, su mayor descenso desde enero de 2023. Analistas de BCA Research advierten que De la Espriella carece del respaldo parlamentario necesario para implementar medidas de ajuste significativas; la segunda vuelta está fijada para el 21 de junio frente al izquierdista Iván Cepeda.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EEUU registra fuerte crecimiento del empleo en mayo y la tasa de desempleo se mantiene en 4,3%</w:t>
      </w:r>
    </w:p>
    <w:p>
      <w:pPr>
        <w:spacing w:before="40" w:after="60"/>
        <w:ind w:left="283"/>
      </w:pPr>
      <w:r>
        <w:rPr>
          <w:rFonts w:ascii="Arial" w:hAnsi="Arial"/>
          <w:color w:val="404040"/>
          <w:sz w:val="21"/>
        </w:rPr>
        <w:t>Las nóminas no agrícolas de EEUU crecieron 172.000 en mayo, más del doble de los 85.000 esperados por los economistas encuestados por Reuters, en una señal de que el mercado laboral recupera impulso tras el tropiezo de 2025. La tasa de desempleo se mantuvo en 4,3% por tercer mes consecutivo y los salarios promedio crecieron 0,3% mensual, en línea con lo esperado. El informe reduce la probabilidad de recortes de tasas por parte de la Fed en el corto plazo; los mercados esperan que el tipo de referencia se mantenga en el rango 3,5%-3,75% hasta 2027.</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SpaceX, la empresa de Elon Musk, asigna una participación récord a inversionistas minoristas en su mega apertura bursátil</w:t>
      </w:r>
    </w:p>
    <w:p>
      <w:pPr>
        <w:spacing w:before="40" w:after="60"/>
        <w:ind w:left="283"/>
      </w:pPr>
      <w:r>
        <w:rPr>
          <w:rFonts w:ascii="Arial" w:hAnsi="Arial"/>
          <w:color w:val="404040"/>
          <w:sz w:val="21"/>
        </w:rPr>
        <w:t>SpaceX reservará hasta una cuarta parte de su IPO de US$75.000 millones para inversores minoristas a través de cinco plataformas en línea —Robinhood, SoFi, E*Trade, Schwab y Fidelity— en la mayor asignación retail para una megacapitalización en la historia del mercado. La medida refleja la filosofía de Elon Musk de dar acceso amplio a pequeños accionistas, frente al modelo tradicional que asigna solo entre 5% y 10% a este segmento. La asignación final dependerá de la demanda y la propia SpaceX advirtió en su folleto que la participación minorista podría generar mayor volatilidad en las operaciones.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Perú define su rumbo económico: las alternativas que representan Sánchez y Fujimori de cara al balotaje</w:t>
      </w:r>
    </w:p>
    <w:p>
      <w:pPr>
        <w:spacing w:before="40" w:after="60"/>
        <w:ind w:left="283"/>
      </w:pPr>
      <w:r>
        <w:rPr>
          <w:rFonts w:ascii="Arial" w:hAnsi="Arial"/>
          <w:color w:val="404040"/>
          <w:sz w:val="21"/>
        </w:rPr>
        <w:t>Perú enfrenta el domingo su segunda vuelta presidencial con Roberto Sánchez (izquierda, 48,6% en intención de voto según Ipsos) y Keiko Fujimori (derecha, 51,4%) con propuestas económicas contrapuestas. Sánchez plantea mayor rol estatal, nueva Constitución por referéndum, reforma tributaria progresiva y énfasis en redistribución e industrialización de recursos naturales, mientras Fujimori propone mantener el modelo vigente, disciplina fiscal, protección de contratos y un "shock desregulatorio" para atraer inversión. Moody's señala que una administración Fujimori respaldaría la confianza del sector privado y el crecimiento, mientras que el programa de Sánchez podría debilitar la confianza inversora.</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Johann Harnoss, experto de BCG: “Chile tiene que definir en qué industrias y mercados del futuro quiere ser líder mundial en innovación”</w:t>
      </w:r>
    </w:p>
    <w:p>
      <w:pPr>
        <w:spacing w:before="40" w:after="60"/>
        <w:ind w:left="283"/>
      </w:pPr>
      <w:r>
        <w:rPr>
          <w:rFonts w:ascii="Arial" w:hAnsi="Arial"/>
          <w:color w:val="404040"/>
          <w:sz w:val="21"/>
        </w:rPr>
        <w:t>El ejecutivo valoró la visibilidad internacional del país y su red de talento en el exterior, pero advirtió de los altos niveles de burocracia interna de las grandes empresas y la baja inversión en I+D. Johann Harnoss, socio y director asociado de innovación en BCG. Foto: Jonathan Duran El doctor en economía de la Université Paris 1 Panthéon-Sorbonne,Johann Harnoss, que colidera a nivel global la investigación de Boston Consulting Group (BCG) en innovación y es coautor del reporte anual Most Innovative Companies, afirmó queChile es reconocido internacionalmente en innovación y por su talento experto en el extranjero. Pero advirtió quetiene brechas importantes para innovar, como una alta burocracia en las compañías y una baja inversión en investigación y desarrollo (I+D).</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Editorial |05/06/2026</w:t>
      </w:r>
    </w:p>
    <w:p>
      <w:pPr>
        <w:spacing w:after="80"/>
      </w:pPr>
      <w:r>
        <w:rPr>
          <w:rFonts w:ascii="Arial" w:hAnsi="Arial"/>
          <w:i/>
          <w:color w:val="999999"/>
          <w:sz w:val="20"/>
        </w:rPr>
        <w:t>(Sin detalle disponible.)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La ruta del delito</w:t>
      </w:r>
    </w:p>
    <w:p>
      <w:pPr>
        <w:spacing w:before="40" w:after="60"/>
        <w:ind w:left="283"/>
      </w:pPr>
      <w:r>
        <w:rPr>
          <w:rFonts w:ascii="Arial" w:hAnsi="Arial"/>
          <w:color w:val="404040"/>
          <w:sz w:val="21"/>
        </w:rPr>
        <w:t>La columna editorial argumenta que los recientes golpes al Tren de Aragua —desarticulando una red de lavado que habría sacado del país más de $78.000 millones— y a una organización de robo de madera en Ñuble demuestran que la lucha efectiva contra el crimen organizado pasa por desarticular sus estructuras económicas, no solo por capturar delincuentes. Ambas investigaciones siguieron la ruta del dinero, revelando que el crimen necesita el sistema financiero formal para consolidarse y multiplicar sus ganancias. El texto concluye que los sistemas de prevención de lavado de activos y los programas de compliance empresarial son barreras fundamentales que Chile está comenzando a fortalecer.</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Lujo falsificado: el avance silencioso de un mercado que perjudica a todos</w:t>
      </w:r>
    </w:p>
    <w:p>
      <w:pPr>
        <w:spacing w:before="40" w:after="60"/>
        <w:ind w:left="283"/>
      </w:pPr>
      <w:r>
        <w:rPr>
          <w:rFonts w:ascii="Arial" w:hAnsi="Arial"/>
          <w:color w:val="404040"/>
          <w:sz w:val="21"/>
        </w:rPr>
        <w:t>El presidente de la Cámara Nacional de Comercio advierte que la venta de productos de lujo falsificados ha dejado de ser marginal para operar con creciente sofisticación a través de redes sociales y plataformas digitales que imitan tiendas formales. Según la OCDE, el comercio mundial de falsificaciones alcanza US$467.000 millones (2,3% de las importaciones globales), mientras que en Chile el mercado ilegal de cosméticos bordea los US$550 millones. El artículo llama a una acción coordinada entre autoridades, plataformas digitales y empresas para proteger la propiedad industrial, señalando que el impacto se extiende al empleo formal, la recaudación fiscal y la seguridad de los consumidores.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Licitación fallida de Fonasa</w:t>
      </w:r>
    </w:p>
    <w:p>
      <w:pPr>
        <w:spacing w:before="40" w:after="60"/>
        <w:ind w:left="283"/>
      </w:pPr>
      <w:r>
        <w:rPr>
          <w:rFonts w:ascii="Arial" w:hAnsi="Arial"/>
          <w:color w:val="404040"/>
          <w:sz w:val="21"/>
        </w:rPr>
        <w:t>El columnista analiza que la licitación fallida de la Mesa de Cobertura Complementaria (MCC) de Fonasa era previsible por problemas estructurales de diseño: prima tope acotada, cobertura amplia sin selección de riesgo, selección adversa, riesgo moral y altos costos operacionales que hacían inviable la sostenibilidad financiera para el sector asegurador privado. Modelos internacionales exitosos de complementariedad público-privada en salud —España, Países Bajos y Alemania— requieren incentivos alineados, distribución de riesgos y reglas claras, condiciones ausentes en este proceso. Concluye que Chile tiene la oportunidad de construir un modelo sólido si asegura certeza y confianza a todos los actores.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La certeza jurídica no es un privilegio</w:t>
      </w:r>
    </w:p>
    <w:p>
      <w:pPr>
        <w:spacing w:before="40" w:after="60"/>
        <w:ind w:left="283"/>
      </w:pPr>
      <w:r>
        <w:rPr>
          <w:rFonts w:ascii="Arial" w:hAnsi="Arial"/>
          <w:color w:val="404040"/>
          <w:sz w:val="21"/>
        </w:rPr>
        <w:t>El articulista advierte que las reformas de las leyes N°21.420 y N°21.649 introdujeron un régimen de patentes mineras progresivas de dudosa constitucionalidad —que puede multiplicar hasta 120 veces el pago a concesionarios que siempre cumplieron— generando desincentivos concretos: aumento de concesiones abandonadas o en nómina de remate y contracción de superficie con rebaja entre 2024 y 2025. El proyecto de ley ingresado el 18 de mayo de 2026, que elimina la escala progresiva y amplía las causales de patente rebajada, apunta en la dirección correcta aunque de forma insuficiente. Subraya que sin certeza jurídica el capital minero de largo plazo migrará a países vecinos, afectando la capacidad del Estado de financiar el desarrollo.</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5 de junio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