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8 De Octubre De 2026</w:t>
      </w:r>
    </w:p>
    <w:p>
      <w:pPr>
        <w:jc w:val="center"/>
      </w:pPr>
      <w:r>
        <w:rPr>
          <w:rFonts w:ascii="Arial" w:hAnsi="Arial"/>
          <w:color w:val="999999"/>
          <w:sz w:val="20"/>
        </w:rPr>
        <w:t>5 secciones  ·  20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Récord de transacciones no se tradujo en ventas históricas del CyberMonday: bajó el ticket promedio y compradores prefirieron supermercados y farmacias</w:t>
      </w:r>
    </w:p>
    <w:p>
      <w:pPr>
        <w:spacing w:before="40" w:after="60"/>
        <w:ind w:left="283"/>
      </w:pPr>
      <w:r>
        <w:rPr>
          <w:rFonts w:ascii="Arial" w:hAnsi="Arial"/>
          <w:color w:val="404040"/>
          <w:sz w:val="21"/>
        </w:rPr>
        <w:t>El CyberMonday 2026, realizado entre el 5 y el 7 de octubre, alcanzó un récord de 5,3 millones de transacciones (20% más que en 2025), pero las ventas sumaron US$ 452 millones, con un alza nominal de solo 2% en pesos y todavía bajo el máximo de US$ 455 millones de 2021. El ticket promedio cayó 15% hasta $83 mil (US$ 85), su menor nivel en dólares corrientes de la serie, reflejando un consumidor sensible a precios en un contexto de bajo crecimiento y alto desempleo. Las farmacias crecieron 55% y los supermercados 20%, mientras que tecnología lideró la participación con 17% y los bienes durables crecieron mucho menos. La CCS destacó la diversificación del e-commerce y el biministro Mas aclaró que lo que cae es el ticket y no las ventas, mientras el Sernac registró una tasa de reclamos de apenas 0,009%.</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nieve caída en las últimas semanas alarga la temporada de ski y Valle Nevado operará hasta noviembre por primera vez en casi 40 años de historia</w:t>
      </w:r>
    </w:p>
    <w:p>
      <w:pPr>
        <w:spacing w:before="40" w:after="60"/>
        <w:ind w:left="283"/>
      </w:pPr>
      <w:r>
        <w:rPr>
          <w:rFonts w:ascii="Arial" w:hAnsi="Arial"/>
          <w:color w:val="404040"/>
          <w:sz w:val="21"/>
        </w:rPr>
        <w:t>Tras cerca de 1,2 metros de nieve recientes, que se suman a unos 7 metros acumulados en el invierno, Valle Nevado extenderá su temporada hasta el 9 de noviembre, una fecha inédita en sus 38 años, completando 143 días de operación. Su gerente general proyecta superar las 310.000 visitas esperadas, con más de 3.000 visitantes diarios y 95% de ocupación hotelera. La Parva operará al menos hasta el 18 de octubre, con más de 130.000 visitantes y una proyección de 150.000 (cerca de 10% más que en 2025), y El Colorado también prorrogó su cierre hasta esa fecha. Los tres centros no lograron unirse bajo Mountain Capital Partners en julio porque la FNE exigía medidas estructurales, como vender uno de ellos, lo que las partes consideraron incompatible con sus objetivos.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Planificar, valorizar los bienes y evitar conflictos entre familias: las claves para aprovechar la ventana transitoria que reduce el impuesto a las donaciones</w:t>
      </w:r>
    </w:p>
    <w:p>
      <w:pPr>
        <w:spacing w:before="40" w:after="60"/>
        <w:ind w:left="283"/>
      </w:pPr>
      <w:r>
        <w:rPr>
          <w:rFonts w:ascii="Arial" w:hAnsi="Arial"/>
          <w:color w:val="404040"/>
          <w:sz w:val="21"/>
        </w:rPr>
        <w:t>Con la Ley de Reconstrucción próxima a publicarse tras el fallo del Tribunal Constitucional, crece el interés por la rebaja transitoria de 50% en el impuesto a las donaciones, que Hacienda espera recaude US$ 300 millones y que regiría desde el 1 de diciembre de 2026 por un año. Expertos reunidos por la AEF y Valtin Consulting explicaron que las tasas progresivas llegan hasta 25%, que la donación en vida anticipa el impuesto a la herencia y traspasa la plusvalía futura a la siguiente generación, y que solo se puede transferir hasta 50% del patrimonio por las reglas de asignatarios forzosos. Se reemplaza la insinuación judicial por escritura pública y declaración jurada ante el SII, que fiscaliza con rigor las organizaciones familiares y la norma antielusión. Recomendaron valorizar bien los activos, documentar el proceso, iniciar las tasaciones a más tardar en marzo de 2027 y aprovechar la ocasión para ordenar conversaciones difíciles de sucesión.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MOP define proyecto para nuevo sistema de controversias en obras públicas y busca ingresarlo al Congreso este año</w:t>
      </w:r>
    </w:p>
    <w:p>
      <w:pPr>
        <w:spacing w:before="40" w:after="60"/>
        <w:ind w:left="283"/>
      </w:pPr>
      <w:r>
        <w:rPr>
          <w:rFonts w:ascii="Arial" w:hAnsi="Arial"/>
          <w:color w:val="404040"/>
          <w:sz w:val="21"/>
        </w:rPr>
        <w:t>El MOP tiene listo el borrador de un proyecto de ley para un nuevo sistema de resolución de controversias en obras públicas, con tres instrumentos: libro de alertas tempranas para los 984 contratos, comisiones consultivas para 764 contratos regionales bajo $14 mil millones y un panel de gestión de discrepancias para las 110 obras mayores. El panel será permanente y autónomo, con seis integrantes elegidos por Alta Dirección Pública y plazo de 30 días para pronunciarse, y el ministerio también prepara una modificación al reglamento de contratos. El objetivo es ingresar el proyecto al Congreso antes de fin de año, en respuesta a la caída sostenida de la competencia en licitaciones y al aumento de concursos desiertos por la pérdida de confianza de las constructoras. La industria valoró la propuesta, pero sugirió sumar mediación, dispute boards y arbitraje voluntario como en otros mercados.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Mariela Formas, vicepresidenta de la Cámara de Innovación Farmacéutica, y recortes a la Ley Ricarte Soto en Presupuesto: “Es un ahorro mal entendido”</w:t>
      </w:r>
    </w:p>
    <w:p>
      <w:pPr>
        <w:spacing w:before="40" w:after="60"/>
        <w:ind w:left="283"/>
      </w:pPr>
      <w:r>
        <w:rPr>
          <w:rFonts w:ascii="Arial" w:hAnsi="Arial"/>
          <w:color w:val="404040"/>
          <w:sz w:val="21"/>
        </w:rPr>
        <w:t>La vicepresidenta de la Cámara de Innovación Farmacéutica criticó que el Presupuesto 2027 recorte 14,5% el fondo de la Ley Ricarte Soto, pese a que Salud sube 4,7% y Fonasa 4,8%. Argumenta que el fondo se sobreejecuta entre 30% y 40% cada año, que su diseño fijo impide incorporar nuevos medicamentos y que solo representa 0,3% del gasto público, por lo que recortarlo es un ahorro mal entendido que traslada costos a hospitalizaciones, licencias y productividad. Señala que el proyecto de modernización de la ley sigue frenado por la falta de un informe financiero de la Dipres y que la judicialización de medicamentos costó cerca de $98.000 millones en 2025. Propone rediseñar las coberturas, pues las familias soportan 70% del gasto farmacéutico y ordenar el mercado reduciría el gasto de bolsillo.</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El IPC de septiembre sube levemente menos de lo estimado y la inflación en 12 meses se frena en 4,1%</w:t>
      </w:r>
    </w:p>
    <w:p>
      <w:pPr>
        <w:spacing w:before="40" w:after="60"/>
        <w:ind w:left="283"/>
      </w:pPr>
      <w:r>
        <w:rPr>
          <w:rFonts w:ascii="Arial" w:hAnsi="Arial"/>
          <w:color w:val="404040"/>
          <w:sz w:val="21"/>
        </w:rPr>
        <w:t>El IPC de septiembre subió 0,4% mensual, algo bajo el 0,5% que esperaba el consenso de Bloomberg, y la inflación a 12 meses se mantuvo en 4,1%. Las mayores incidencias fueron alimentos y bebidas no alcohólicas (0,6%, 0,133 pp) y transporte (0,9%, 0,122 pp), este último por el alza de combustibles: gasolina 2,7%, diésel 10,2% y transporte aéreo nacional 16,3%. La electricidad subió 1,6%. En contraste, seguros y servicios financieros cayeron 5,9% (incidencia de -0,056 pp) y el transporte aéreo internacional bajó 18,7%.</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Subcomisión aprueba recursos de Contraloría y Dorothy Pérez fija plan para “robotizar” fiscalizaciones</w:t>
      </w:r>
    </w:p>
    <w:p>
      <w:pPr>
        <w:spacing w:before="40" w:after="60"/>
        <w:ind w:left="283"/>
      </w:pPr>
      <w:r>
        <w:rPr>
          <w:rFonts w:ascii="Arial" w:hAnsi="Arial"/>
          <w:color w:val="404040"/>
          <w:sz w:val="21"/>
        </w:rPr>
        <w:t>La subcomisión mixta de Presupuestos aprobó por unanimidad un alza de 5,9% para la Contraloría en 2027, que incluye 75 funcionarios adicionales y suscripciones a modelos avanzados de IA con resguardos de datos. La contralora Dorothy Pérez planea para 2027-2031 migrar del control manual a analítica masiva de datos y automatización, con verificación humana, para fiscalizar de forma preventiva áreas como remuneraciones, licencias médicas y contratos, ampliando el control sin depender solo de más dotación. Sostuvo que el gasto en personal es una inversión por los ahorros que genera al Estado y propuso cambios al articulado, como autorizar un receptor judicial, precisar la obligación de informar todos los viajes de funcionarios y eliminar el monto fijo para viáticos y horas extras. El presupuesto debe ser revisado en un par de semanas por la comisión mixta.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Presupuesto 2027 sube tope de dotación máxima del gobierno, pero recorta pagos de horas extra y funciones críticas</w:t>
      </w:r>
    </w:p>
    <w:p>
      <w:pPr>
        <w:spacing w:before="40" w:after="60"/>
        <w:ind w:left="283"/>
      </w:pPr>
      <w:r>
        <w:rPr>
          <w:rFonts w:ascii="Arial" w:hAnsi="Arial"/>
          <w:color w:val="404040"/>
          <w:sz w:val="21"/>
        </w:rPr>
        <w:t>El Informe de Finanzas Públicas del Presupuesto 2027 congela el gasto en personal, pero eleva la dotación máxima a 402.701 funcionarios, 10.102 más que en 2026 (2,6%), una desaceleración frente al 7% proyectado para este año. Las horas extraordinarias bajan 2,5% a $166.622 millones, el nivel más bajo en cuatro años, y la asignación por funciones críticas se reduce 5,4% a $31.709 millones, beneficiando a 2.866 personas, 176 menos. En cambio, los viáticos nacionales suben 10,4% a $123.802 millones, el mayor monto y alza desde al menos 2022. Por primera vez se identifican 393 cupos de asesores de autoridades, y los gastos reservados civiles caen 11,6% a $3.611 millones, mientras los de las Fuerzas Armadas se congelan en $5.327 millones.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 OMC revisa al alza la proyección del crecimiento del comercio global a 3,9% para este año</w:t>
      </w:r>
    </w:p>
    <w:p>
      <w:pPr>
        <w:spacing w:before="40" w:after="60"/>
        <w:ind w:left="283"/>
      </w:pPr>
      <w:r>
        <w:rPr>
          <w:rFonts w:ascii="Arial" w:hAnsi="Arial"/>
          <w:color w:val="404040"/>
          <w:sz w:val="21"/>
        </w:rPr>
        <w:t>La OMC elevó su proyección de crecimiento del volumen del comercio mundial de mercancías a 3,9% en 2026, desde 1,9% en marzo, pese a la disrupción del estrecho de Ormuz y el alza de la energía. El impulso viene de los bienes ligados a la inteligencia artificial, que explicaron 47% del crecimiento del primer trimestre con un alza de 67% en su valor, aunque el 85% de sus exportaciones se concentra en diez economías de Asia y Norteamérica. El comercio de servicios se proyecta en 3,3% (antes 4,8%) por el conflicto EEUU-Irán y mayores costos de aviación, y el PIB mundial crecería 2,6% en 2026 y 2,9% en 2027. Para Sudamérica se prevén exportaciones de mercancías al alza 3,4% y PIB de 2,7% en 2026, y Chile fue en 2025 el 27° exportador mundial con US$ 110.000 millones (+12%) y el 29° importador con US$ 93.000 millones (+10%).</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BCE advierte riesgos al alza para la inflación por persistencia del shock energético</w:t>
      </w:r>
    </w:p>
    <w:p>
      <w:pPr>
        <w:spacing w:before="40" w:after="60"/>
        <w:ind w:left="283"/>
      </w:pPr>
      <w:r>
        <w:rPr>
          <w:rFonts w:ascii="Arial" w:hAnsi="Arial"/>
          <w:color w:val="404040"/>
          <w:sz w:val="21"/>
        </w:rPr>
        <w:t>Las minutas de septiembre del BCE muestran que todos los miembros ven riesgos de inflación sesgados al alza por la guerra en Medio Oriente, las bajas reservas de gas, un posible invierno frío y los altos márgenes de refinación, además de El Niño sobre los alimentos. El banco proyecta inflación de 3,0% en 2026, 2,5% en 2027 y 2,1% en 2028, con la subyacente sobre 2% todo el período, tras una inflación de 3,3% en agosto impulsada por energía (+14,3%). El Consejo aprobó por unanimidad subir las tasas 25 puntos base, dejando la tasa de depósitos en 2,50%, sin comprometer nuevas alzas y manteniendo un enfoque dependiente de datos. El economista jefe Philip Lane calificó el episodio como una crisis de magnitud media que requiere una respuesta mesurada, dado que los efectos indirectos y las presiones salariales son limitados.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Trump descarta acuerdo con Irán y evalúa nuevos ataques mientras el petróleo Brent supera los US$ 105</w:t>
      </w:r>
    </w:p>
    <w:p>
      <w:pPr>
        <w:spacing w:before="40" w:after="60"/>
        <w:ind w:left="283"/>
      </w:pPr>
      <w:r>
        <w:rPr>
          <w:rFonts w:ascii="Arial" w:hAnsi="Arial"/>
          <w:color w:val="404040"/>
          <w:sz w:val="21"/>
        </w:rPr>
        <w:t>El Brent subió cerca de 5% hasta superar los US$ 105 por barril, su mayor nivel en más de una semana, después de que Trump dijera que no está interesado en un acuerdo con Irán y mientras medios como NBC y Axios informan que Washington evalúa reanudar operaciones a gran escala, con bombardeos masivos a instalaciones energéticas y nucleares incluso antes de las elecciones de noviembre. Irán intensificó ataques a petroleros en Ormuz y los hutíes atacaron dos aeropuertos sauditas, con tres muertos. Los costos de transporte se dispararon: llevar crudo de Medio Oriente a China llegó a US$ 1,4 millones diarios y contratar un gran petrolero de EEUU a Asia cuesta US$ 77 millones, frente a US$ 9,2 millones el año pasado. Aunque las exportaciones del Golfo se acercan a los 18,5 millones de barriles diarios previos al conflicto, los riesgos y costos logísticos sostienen los precios.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Sandra Ortega, la mujer más rica de España y heredera invisible del imperio Zara</w:t>
      </w:r>
    </w:p>
    <w:p>
      <w:pPr>
        <w:spacing w:before="40" w:after="60"/>
        <w:ind w:left="283"/>
      </w:pPr>
      <w:r>
        <w:rPr>
          <w:rFonts w:ascii="Arial" w:hAnsi="Arial"/>
          <w:color w:val="404040"/>
          <w:sz w:val="21"/>
        </w:rPr>
        <w:t>Sandra Ortega, de 58 años, es la segunda mayor accionista de Inditex con 5,05%, valorada en unos €8.500 millones, y gestiona su patrimonio con bajo perfil a través de la oficina Rosp y una fundación. Rosp tuvo en 2025 un beneficio de €307 millones (+2%) y activos sobre €11.000 millones, recibirá €275 millones en dividendos de Inditex este año y posee 5% de PharmaMar, fondos de capital privado y una cartera de hoteles e inmuebles, incluida la compra del Radisson Blu de Leicester Square por €142 millones. Cuando fallezca Amancio Ortega (90 años, unos US$ 125.000 millones), cada uno de sus tres hijos recibiría al menos US$ 10.400 millones por la ley gallega, lo que convierte a Sandra, accionista pasiva sin papel en la empresa, en una incógnita para la gobernanza de Inditex. Expertos advierten que la unidad de los accionistas familiares será clave en la sucesión, dado que las dos ramas de la familia apenas se relacionan.</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Samsung prevé alcanzar un resultado récord en la historia del sector impulsado por la IA</w:t>
      </w:r>
    </w:p>
    <w:p>
      <w:pPr>
        <w:spacing w:before="40" w:after="60"/>
        <w:ind w:left="283"/>
      </w:pPr>
      <w:r>
        <w:rPr>
          <w:rFonts w:ascii="Arial" w:hAnsi="Arial"/>
          <w:color w:val="404040"/>
          <w:sz w:val="21"/>
        </w:rPr>
        <w:t>Samsung estimó un resultado operativo del tercer trimestre de 107,4 billones de wones (US$ 80.170 millones), casi nueve veces el del año anterior y algo sobre los 106,1 billones esperados, con ingresos que subirían 127% a 195 billones de wones. Es el cuarto trimestre consecutivo de récord, impulsado por la escasez de memorias mientras la inversión en infraestructura de IA supera la oferta; Samsung y Micron creen que el desequilibrio durará hasta 2028. Sin embargo, la acción cae más de 25% desde su máximo de junio por dudas sobre la sostenibilidad del auge de IA y el fortalecimiento del won, y se espera que las utilidades del cuarto trimestre crezcan solo 8,2% frente a 20% en el tercero. TrendForce proyecta alzas de 10%-15% en los precios de contrato de DRAM, muy bajo el 60% del segundo trimestre, y Samsung publicará el detalle el 29 de octubre.</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 ONU advierte que El Niño se intensificará y se prolongará hasta febrero de 2027</w:t>
      </w:r>
    </w:p>
    <w:p>
      <w:pPr>
        <w:spacing w:before="40" w:after="60"/>
        <w:ind w:left="283"/>
      </w:pPr>
      <w:r>
        <w:rPr>
          <w:rFonts w:ascii="Arial" w:hAnsi="Arial"/>
          <w:color w:val="404040"/>
          <w:sz w:val="21"/>
        </w:rPr>
        <w:t>La OMM prevé que El Niño se intensifique hasta su punto álgido en diciembre y que persista hasta febrero de 2027 con probabilidad cercana a 100%, lo que podría convertirlo en uno de los más intensos desde al menos 1950. Se espera que la temperatura del mar en el Pacífico tropical central y oriental llegue a 3,7 °C sobre lo normal entre octubre y diciembre, muy por encima del récord previo de 2,6 °C de 2015-2016. Agosto igualó a julio de 2023 como el mes más cálido registrado, con 16,96 °C, y un estudio de la Universidad de Chicago estima hasta 451.000 muertes adicionales por este episodio entre junio y febrero de 2027. El fenómeno suele provocar sequías en unas zonas y lluvias torrenciales en otras, con efectos potenciales sobre precios de alimentos y economías.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Los economistas con trabajo de “clase Nobel” que están atentos al fallo de la Academia Sueca</w:t>
      </w:r>
    </w:p>
    <w:p>
      <w:pPr>
        <w:spacing w:before="40" w:after="60"/>
        <w:ind w:left="283"/>
      </w:pPr>
      <w:r>
        <w:rPr>
          <w:rFonts w:ascii="Arial" w:hAnsi="Arial"/>
          <w:color w:val="404040"/>
          <w:sz w:val="21"/>
        </w:rPr>
        <w:t>De cara al anuncio del Nobel de Economía el próximo lunes, Clarivate identificó candidatos de “clase Nobel” a partir de datos de publicaciones y citas, método con el que 89 de sus seleccionados han sido premiados desde 2002. Para 2026 destacó tres áreas: la economía de las tecnologías de la información (Susan Athey y Hal Varian, por su análisis de subastas de anuncios y mercados digitales), la política monetaria (Michael Woodford, por sus aportes sobre expectativas y forward guidance) y el dinamismo económico con enfoque evolutivo (Sidney Winter, junto a Richard Nelson, por la teoría evolutiva del cambio económico y las capacidades dinámicas de las empresas). Estos nombres reflejan líneas de investigación con gran influencia en la economía digital, los bancos centrales y la estrategia empresarial.</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Startup de empleo para universitarios Tasky levanta capital para acelerar expansión y nuevas línea de negocio</w:t>
      </w:r>
    </w:p>
    <w:p>
      <w:pPr>
        <w:spacing w:before="40" w:after="60"/>
        <w:ind w:left="283"/>
      </w:pPr>
      <w:r>
        <w:rPr>
          <w:rFonts w:ascii="Arial" w:hAnsi="Arial"/>
          <w:color w:val="404040"/>
          <w:sz w:val="21"/>
        </w:rPr>
        <w:t>La startup chilena Tasky cerró una ronda de inversión con ECR Group como socio estratégico, que la valoriza en US$ 5 millones, aunque no reveló el monto levantado. La plataforma conecta a más de 30 mil universitarios (120 nuevos cada día) con más de 80 empresas de retail, consumo masivo, eventos y última milla, cobra una comisión por las horas vendidas y ya intermedió 20 mil tareas que generaron más de $500 millones para los estudiantes. Con el capital buscan duplicar su base de usuarios, expandirse a regiones apoyándose en la red de ECR, alcanzar el punto de equilibrio antes de fin de año y fortalecer las líneas de prácticas profesionales y “primera pega”, además de desarrollar con universidades una plataforma de oportunidades laborales.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Goldman advierte que la inteligencia artificial dejará en un limbo a los mandos medios en Wall Street</w:t>
      </w:r>
    </w:p>
    <w:p>
      <w:pPr>
        <w:spacing w:before="40" w:after="60"/>
        <w:ind w:left="283"/>
      </w:pPr>
      <w:r>
        <w:rPr>
          <w:rFonts w:ascii="Arial" w:hAnsi="Arial"/>
          <w:color w:val="404040"/>
          <w:sz w:val="21"/>
        </w:rPr>
        <w:t>Kevin Sneader, presidente de Goldman Sachs para Asia Pacífico, afirmó en el Milken Institute Asia Summit que los nuevos empleados de Wall Street ya comienzan gestionando agentes de IA en vez de hacer tareas básicas, lo que deja incierto el rol de los mandos medios y plantea un desafío generacional para la reasignación de personal. El presidente de Goldman, John Waldron, ha descrito las operaciones del banco como una línea de montaje humana susceptible de automatización. Otros panelistas coincidieron: CD&amp;R advirtió que la pirámide tradicional de las firmas profesionales podría no sobrevivir y la Autoridad Monetaria de Singapur anticipó que los bancos necesitarán menos recién graduados y que su personal pasará a supervisar agentes, para lo cual capacitarán a 80.000 empleados. Sneader añadió que es un buen momento para emprender por los menores costos de partida.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Futuro del trabajo: cómo los agentes de IA están redefiniendo roles, habilidades y la estructura de las empresas</w:t>
      </w:r>
    </w:p>
    <w:p>
      <w:pPr>
        <w:spacing w:before="40" w:after="60"/>
        <w:ind w:left="283"/>
      </w:pPr>
      <w:r>
        <w:rPr>
          <w:rFonts w:ascii="Arial" w:hAnsi="Arial"/>
          <w:color w:val="404040"/>
          <w:sz w:val="21"/>
        </w:rPr>
        <w:t>Las expertas María Francisca Yáñez y Denisse Goldfarb plantearon en IA Lab de DF que el mercado laboral vive un cambio de era comparable a la revolución industrial, con una o dos décadas de alta movilidad. Goldfarb sostuvo que la IA automatizará fracciones de las tareas más que cargos completos, con mayor exposición en funciones cognitivas y menor en las de fuerte componente físico, mientras las competencias humanas como coordinar, inspirar y dar feedback seguirán siendo clave. Citando al Foro Económico Mundial, 39% de las capacidades actuales dejarán de ser relevantes hacia 2030, por lo que serán valiosas la combinación de IA y ciberseguridad con creatividad, pensamiento analítico y liderazgo. Anticiparon empresas con un núcleo agéntico y humanos en la periferia, estructuras que pasan de pirámide a diamante con el desafío no resuelto de formar mandos medios, y nuevas métricas de tamaño distintas al número de empleados.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Presupuesto 2027 y fiscalización</w:t>
      </w:r>
    </w:p>
    <w:p>
      <w:pPr>
        <w:spacing w:before="40" w:after="60"/>
        <w:ind w:left="283"/>
      </w:pPr>
      <w:r>
        <w:rPr>
          <w:rFonts w:ascii="Arial" w:hAnsi="Arial"/>
          <w:color w:val="404040"/>
          <w:sz w:val="21"/>
        </w:rPr>
        <w:t>La columna sostiene que el aumento de recursos para la Contraloría en el Presupuesto 2027 ($130.959 millones, 5,9% más) y las nuevas facultades de cruce de datos de la Dipres en la ley de reconstrucción pueden fortalecer el control del fraude social en un escenario de estrechez fiscal. Recuerda que el cruce de registros de licencias médicas de 2025 evidenció casos que los controles separados no detectaban, y que el ministro Quiroz valoró esas herramientas para verificar la elegibilidad de beneficiarios, como en la gratuidad universitaria. Advierte que un pago indebido no equivale necesariamente a fraude, pues puede ser un error. Concluye que reforzar la Contraloría es coherente con la consolidación fiscal y puede generar ahorros permanentes si evita desembolsos injustificados y recupera pagos sin fundamento, resguardando a quienes sí tienen derecho a los beneficios.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Ciencia para diagnosticar a tiempo: de la promesa a la urgencia</w:t>
      </w:r>
    </w:p>
    <w:p>
      <w:pPr>
        <w:spacing w:before="40" w:after="60"/>
        <w:ind w:left="283"/>
      </w:pPr>
      <w:r>
        <w:rPr>
          <w:rFonts w:ascii="Arial" w:hAnsi="Arial"/>
          <w:color w:val="404040"/>
          <w:sz w:val="21"/>
        </w:rPr>
        <w:t>La directora médica de AstraZeneca Cono Sur plantea que en Chile la ciencia y la innovación en salud son una urgencia presente, pues miles de personas esperan meses o años por un diagnóstico oportuno. Sostiene que la IA puede analizar grandes volúmenes de datos y apoyar decisiones clínicas más rápidas y precisas, pero que no basta por sí sola. Para tener impacto real debe integrarse al sistema de salud mediante colaboración público-privada con la academia, la industria, los equipos médicos y los pacientes, de modo que la medicina de precisión y las herramientas digitales aporten a un sistema más sustentable, oportuno y centrado en las personas.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8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