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25 De Mayo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Fintoc apuesta por el delivery y suma pagos por transferencia en Rappi</w:t>
      </w:r>
    </w:p>
    <w:p>
      <w:pPr>
        <w:spacing w:before="40" w:after="60"/>
        <w:ind w:left="283"/>
      </w:pPr>
      <w:r>
        <w:rPr>
          <w:rFonts w:ascii="Arial" w:hAnsi="Arial"/>
          <w:color w:val="404040"/>
          <w:sz w:val="21"/>
        </w:rPr>
        <w:t>La fintech chilena Fintoc anunció una alianza con Rappi para habilitar pagos por transferencia bancaria directamente dentro de la aplicación de delivery, expandiendo este medio de pago más allá de las transacciones entre personas. Según cifras del Banco Central citadas en el acuerdo, las transferencias electrónicas ya concentran el 58% de las preferencias de pago entre personas en Chile. La integración también incluirá tokenización, permitiendo que los usuarios guarden su cuenta bancaria de forma segura para agilizar compras futuras en la plataforma, que procesa cerca de un millón de pedidos mensuales en el país.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JPMorgan baja precio objetivo de Mallplaza, pero la ratifica como su acción favorita del inmobiliario comercial chileno</w:t>
      </w:r>
    </w:p>
    <w:p>
      <w:pPr>
        <w:spacing w:before="40" w:after="60"/>
        <w:ind w:left="283"/>
      </w:pPr>
      <w:r>
        <w:rPr>
          <w:rFonts w:ascii="Arial" w:hAnsi="Arial"/>
          <w:color w:val="404040"/>
          <w:sz w:val="21"/>
        </w:rPr>
        <w:t>JPMorgan recortó sus estimaciones de valor fundamental para Mallplaza y Cenco Malls tras resultados del primer trimestre por debajo de lo esperado, fijando sus precios objetivo en $4.300 y $2.750 por acción respectivamente, mientras que Parque Arauco —que sí superó previsiones— mantuvo su estimación en $4.100. A pesar del ajuste, el banco mantuvo la recomendación de 'sobreponderar' para Mallplaza y Cenco Malls, ratificando a Mallplaza como su primera opción del sector con un potencial de retorno de 12 meses de aproximadamente 10%. El banco advierte que prefiere los centros comerciales brasileños por su mayor atractivo relativo, dado que cotizan a 10,5 veces su FFO frente a las 18,6 veces de los chilenos.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Bolsa chilena abre con fuerte alza y el IPSA recupera los 10.700 puntos tras progreso de conversaciones de paz en Medio Oriente</w:t>
      </w:r>
    </w:p>
    <w:p>
      <w:pPr>
        <w:spacing w:before="40" w:after="60"/>
        <w:ind w:left="283"/>
      </w:pPr>
      <w:r>
        <w:rPr>
          <w:rFonts w:ascii="Arial" w:hAnsi="Arial"/>
          <w:color w:val="404040"/>
          <w:sz w:val="21"/>
        </w:rPr>
        <w:t>La bolsa chilena inició la semana con un alza de 1,5%, llevando el S&amp;P IPSA hasta los 10.724 puntos, impulsada por el avance en las negociaciones entre Estados Unidos e Irán para poner fin al conflicto en el Golfo Pérsico y reabrir el estratégico estrecho de Ormuz. Latam encabezó las ganancias con un 4,5%, mientras los mercados europeos y asiáticos también celebraron la distensión: el Euro Stoxx 50 subió 1,7% y el Nikkei japonés escaló 2,9% a un nuevo récord histórico. Wall Street permaneció cerrado por el feriado del Día de los Caídos, y el petróleo Brent cayó por debajo de los US$100 por barril ante la expectativa de reapertura del estrecho.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abre con fuerte caída bajo $ 900 por optimismo sobre avance en negociaciones entre EEUU e Irán para un acuerdo de paz</w:t>
      </w:r>
    </w:p>
    <w:p>
      <w:pPr>
        <w:spacing w:before="40" w:after="60"/>
        <w:ind w:left="283"/>
      </w:pPr>
      <w:r>
        <w:rPr>
          <w:rFonts w:ascii="Arial" w:hAnsi="Arial"/>
          <w:color w:val="404040"/>
          <w:sz w:val="21"/>
        </w:rPr>
        <w:t>El dólar cayó $8,9 en la apertura del lunes para cotizar a $892,4, su nivel más bajo en semanas, impulsado por las señales optimistas de ambas partes respecto a un eventual acuerdo entre Estados Unidos e Irán que reabriría el estrecho de Ormuz. El peso chileno había sido golpeado especialmente por la crisis energética derivada del conflicto, que elevó su dependencia de importaciones y llevó a los no residentes a acumular posiciones cortas cercanas a US$14 mil millones en contratos forward —el máximo desde junio de 2020. El petróleo Brent cedió un 6% hasta US$97,3 por barril, mientras el cobre avanzó 1% hasta US$6,44 la libra.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Justicia suspende entrega de datos de la industria salmonera por eventuales riesgos a la libre competencia</w:t>
      </w:r>
    </w:p>
    <w:p>
      <w:pPr>
        <w:spacing w:before="40" w:after="60"/>
        <w:ind w:left="283"/>
      </w:pPr>
      <w:r>
        <w:rPr>
          <w:rFonts w:ascii="Arial" w:hAnsi="Arial"/>
          <w:color w:val="404040"/>
          <w:sz w:val="21"/>
        </w:rPr>
        <w:t>La Corte de Apelaciones de Puerto Montt suspendió temporalmente la entrega de información estratégica de 13 empresas salmoneras al declarar admisibles dos reclamos de ilegalidad presentados contra una orden del Consejo para la Transparencia que obligaba a Sernapesca a revelar dichos datos. La información en cuestión incluye cifras de mortalidad semanal de peces, uso de antibióticos, fármacos y cargas parasitarias desde enero de 2025, que las compañías —entre ellas Salmones Blumar, Cermaq Chile y Australis Mar— argumentan que son de carácter estratégico y cuya divulgación podría vulnerar la libre competencia y afectar negociaciones en curso. La disputa se origina en una solicitud de transparencia de un consultor externo que fue acogida por el Consejo, pero que la industria impugnó judicialmente, quedando ahora en suspenso mientras la justicia determina si prima el principio de transparencia o la protección del secreto comercial.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Acenor designa a investigador de LyD como sucesor de Javier Bustos en la dirección ejecutiva del gremio</w:t>
      </w:r>
    </w:p>
    <w:p>
      <w:pPr>
        <w:spacing w:before="40" w:after="60"/>
        <w:ind w:left="283"/>
      </w:pPr>
      <w:r>
        <w:rPr>
          <w:rFonts w:ascii="Arial" w:hAnsi="Arial"/>
          <w:color w:val="404040"/>
          <w:sz w:val="21"/>
        </w:rPr>
        <w:t>La Asociación de Clientes Eléctricos No Regulados (Acenor) nombró a Juan Ignacio Gómez como nuevo director ejecutivo, en reemplazo de Javier Bustos, quien deja el cargo el 31 de mayo tras cinco años al frente del gremio. Gómez es abogado y magíster en Regulación de la Universidad Adolfo Ibáñez, cuenta con un diplomado en Libre Competencia de la UC, y desde 2022 se desempeñaba como coordinador del Programa Legislativo de Libertad y Desarrollo (LyD). Su incorporación, efectiva el 12 de junio, busca reforzar el trabajo regulatorio y legislativo de Acenor, que representa a gran parte de los clientes libres del sistema eléctrico nacional. Bustos, por su parte, asumirá un cargo académico como investigador en el Centro de Regulación y Competencia (RegCom) de la Facultad de Derecho de la Universidad de Chile.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venganza del visón: usado antes en la elaboración de abrigos hoy es una plaga que amenaza a productores agrícolas y al turismo de Chiloé</w:t>
      </w:r>
    </w:p>
    <w:p>
      <w:pPr>
        <w:spacing w:before="40" w:after="60"/>
        <w:ind w:left="283"/>
      </w:pPr>
      <w:r>
        <w:rPr>
          <w:rFonts w:ascii="Arial" w:hAnsi="Arial"/>
          <w:color w:val="404040"/>
          <w:sz w:val="21"/>
        </w:rPr>
        <w:t>El visón americano, introducido en Chile en los años 30 para la industria peletera, se ha convertido en una plaga en el archipiélago de Chiloé con alto impacto económico y ecológico: desde 2023 el SAG registra 90 denuncias con más de 1.000 aves muertas, con pérdidas que promedian $300 mil por ataque y se estima que solo el 10% de los eventos son reportados. La especie amenaza además a pingüineras, colonias de cisnes de cuello negro y mamíferos nativos emblemáticos, afectando potencialmente la cadena de valor turística de la isla. El Consejo Regional de Los Lagos aprobó un programa de control por más de $452 millones, pero su ejecución aguarda autorizaciones del nivel central —Dipres y Contraloría—, lo que expertos y autoridades califican como una respuesta tardía e insuficiente frente a una especie de alta capacidad reproductiva.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“Ignorante” y “meras artimañas jurídicas”: escala disputa entre municipalidad de Lo Barnechea y Enaco por nuevo plan regulador</w:t>
      </w:r>
    </w:p>
    <w:p>
      <w:pPr>
        <w:spacing w:before="40" w:after="60"/>
        <w:ind w:left="283"/>
      </w:pPr>
      <w:r>
        <w:rPr>
          <w:rFonts w:ascii="Arial" w:hAnsi="Arial"/>
          <w:color w:val="404040"/>
          <w:sz w:val="21"/>
        </w:rPr>
        <w:t>En el juicio que enfrenta a las partes, el privado citó el informe de un fiscal judicial que propuso declarar ilegal el nuevo instrumento de planificación territorial comunal. El juicio que inició la Inmobiliaria Valle La Dehesa, parte del grupo Enaco,que solicitó que se declare ilegal la Actualización del Plan Regulador Comunal (PRC) de la comuna de Lo Barnechea,subió de tono. En el proceso, el abogado del municipio, Mauricio Cisternas, presentó un escrito en que calificócomo “de forma maliciosa e ignorante”la solicitud del privado para que se tenga por no presentada la lista de testigos porque habría operado la preclusión, por no haberse ejercido dentro del plazo legal.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Joaquín Villarino, presidente ejecutivo del Consejo Minero: “Argentina y Perú se están convirtiendo en competidores reales. Nuestros vecinos, no la República Democrática del Congo”</w:t>
      </w:r>
    </w:p>
    <w:p>
      <w:pPr>
        <w:spacing w:before="40" w:after="60"/>
        <w:ind w:left="283"/>
      </w:pPr>
      <w:r>
        <w:rPr>
          <w:rFonts w:ascii="Arial" w:hAnsi="Arial"/>
          <w:color w:val="404040"/>
          <w:sz w:val="21"/>
        </w:rPr>
        <w:t>El dirigente gremial valoró los cambios tributarios que busca impulsar el gobierno, pero advirtió que se ha descuidado el sector minero en Chile, tras años de cargas y dificultades en la obtención de permisos que ha debido asumir la industria, mientras la competencia del “barrio” avanza fuerte. Con un precio del cobre en máximos históricos, un gobierno recién instalado que impulsa nuevos cambios al sistema tributario y una industria minera que sigue atentael revés judicial contra el megaproyecto de US$ 3.200 millones de Collahuasi,el presidente ejecutivo de Consejo Minero, Joaquín Villarino, repitió 13 veces durante esta entrevista un concepto que, a su juicio, es la clave central para el impulso del sector en Chile: “Certeza jurídica”. Es que en una industria donde un gran proyecto demora 11 años en promedio en obtener sus permisos, superando a otras latitudes mineras que compiten con el país, la estabilidad de las reglas es “indispensable para que las compañías decidan embarcarse en proyectos de largo plazo”, enfatizó.</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Tigo Business: el negocio B2B de Millicom con el que Xavier Niel se presentará en sociedad en Chile</w:t>
      </w:r>
    </w:p>
    <w:p>
      <w:pPr>
        <w:spacing w:before="40" w:after="60"/>
        <w:ind w:left="283"/>
      </w:pPr>
      <w:r>
        <w:rPr>
          <w:rFonts w:ascii="Arial" w:hAnsi="Arial"/>
          <w:color w:val="404040"/>
          <w:sz w:val="21"/>
        </w:rPr>
        <w:t>El magnate francés Xavier Niel, accionista principal de Millicom, visitará Chile este martes para presentarse en sociedad ante los principales clientes corporativos de Movistar Empresas —que próximamente pasará a llamarse Tigo Business—, en un cóctel en la Embajada de Francia con ejecutivos del mundo privado y autoridades. El segmento B2B representó el 24,8% de los ingresos de Movistar Chile en 2025 (US$218.671 millones, con crecimiento de 16,5%), y en el primer trimestre de 2026 Tigo Business registró ingresos globales de US$242 millones, un 56% más que el mismo período del año anterior. La operación en Chile, que ya redujo cerca del 35% de su plantilla desde la adquisición de Telefónica en febrero, está siendo liderada por una nueva cúpula ejecutiva compuesta por ejecutivos de Colombia, Ecuador y Francia.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Empresa de la familia Urenda modifica sociedad para usar drones en minería</w:t>
      </w:r>
    </w:p>
    <w:p>
      <w:pPr>
        <w:spacing w:before="40" w:after="60"/>
        <w:ind w:left="283"/>
      </w:pPr>
      <w:r>
        <w:rPr>
          <w:rFonts w:ascii="Arial" w:hAnsi="Arial"/>
          <w:color w:val="404040"/>
          <w:sz w:val="21"/>
        </w:rPr>
        <w:t>Agencias Universales (Agunsa), la multinacional de la familia Urenda, amplió el giro de su filial Soluciones Mineras (Solmin) para incorporar servicios de transporte y trabajos aéreos con fines de lucro, habilitando así la operación de drones en sus servicios a la industria minera. El cambio en los estatutos fue formalizado el 13 de mayo y permite a Solmin operar dispositivos no tripulados para labores de vigilancia o transporte en los principales grupos mineros del país, que son sus clientes actuales. Solmin fue fundada en 2023 y opera dentro del holding Agunsa, que gestiona los puertos de Antofagasta y Talcahuano, además de los aeropuertos de Arica, El Loa y Puerto Montt.</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TDLC multa a abogados por citar una norma que no existe</w:t>
      </w:r>
    </w:p>
    <w:p>
      <w:pPr>
        <w:spacing w:before="40" w:after="60"/>
        <w:ind w:left="283"/>
      </w:pPr>
      <w:r>
        <w:rPr>
          <w:rFonts w:ascii="Arial" w:hAnsi="Arial"/>
          <w:color w:val="404040"/>
          <w:sz w:val="21"/>
        </w:rPr>
        <w:t>El Tribunal de Defensa de la Libre Competencia (TDLC) citó a los abogados de San Antonio Terminal Internacional para explicar por qué en un escrito presentado ante el tribunal citaron reiteradamente el texto expreso de una norma del artículo 32 del Decreto Ley N°211 que no coincide con ninguna versión vigente ni anterior de dicha disposición, siendo utilizada para favorecer la argumentación de su cliente. Los abogados reconocieron que durante la revisión final no identificaron los cambios realizados a la norma y pidieron disculpas, tras lo cual el TDLC les impuso una multa conjunta de 1 UTM (equivalente a $70.588 pesos). El caso generó debate en los bufetes especializados en libre competencia, circulando versiones sobre el eventual uso de inteligencia artificial en la redacción del escrito, aunque el estudio Garrigues se negó a comentar.</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Telecanal va a la Suprema contra el CNTV por caducidad de concesión y acusa “censura” por emitir noticias de canal ruso RT</w:t>
      </w:r>
    </w:p>
    <w:p>
      <w:pPr>
        <w:spacing w:before="40" w:after="60"/>
        <w:ind w:left="283"/>
      </w:pPr>
      <w:r>
        <w:rPr>
          <w:rFonts w:ascii="Arial" w:hAnsi="Arial"/>
          <w:color w:val="404040"/>
          <w:sz w:val="21"/>
        </w:rPr>
        <w:t>A la estación se le cesó la licencia por incumplir la cobertura digital, según la resolución del Consejo Nacional de Televisión. Canal Dos, comercialmente conocido como Telecanal, recurrió a la Corte Suprema para dejar sin efecto la caducidad de la concesión que decretó el Consejo Nacional de Televisión (CNTV) por incumplir la cobertura digital al no tener activa su señal secundaria. En un escrito, el canal señaló que la decisión de esa instancia fue dictada “en infracción a la señalada ley, extralimitándose el referido Consejo en el ejercicio de sus competencias”.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Productividad, conciliación y la IA: las prioridades que tensionan la agenda entre empresas y sindicatos</w:t>
      </w:r>
    </w:p>
    <w:p>
      <w:pPr>
        <w:spacing w:before="40" w:after="60"/>
        <w:ind w:left="283"/>
      </w:pPr>
      <w:r>
        <w:rPr>
          <w:rFonts w:ascii="Arial" w:hAnsi="Arial"/>
          <w:color w:val="404040"/>
          <w:sz w:val="21"/>
        </w:rPr>
        <w:t>El quinto estudio anual de relaciones laborales de la Cátedra Carlos Vial Espantoso de la UC —elaborado con 77 gerencias de personas y 120 dirigentes sindicales de grandes empresas— revela una marcada brecha de prioridades: el 61% de las gerencias sitúa la productividad como urgencia principal, cifra que cae al 13% en los sindicatos, quienes a su vez privilegian la conciliación trabajo-familia (57%) y la seguridad social frente al desempleo (31%). Frente a la inteligencia artificial, las empresas la perciben principalmente como una oportunidad de eficiencia y transformación de perfiles laborales, mientras los sindicatos la asocian sobre todo con riesgo de pérdida de empleos (74,5% la señala como principal preocupación) y falta de participación en las decisiones de implementación. Ambas partes coinciden en una baja valoración del diálogo social como herramienta, con solo el 6% de las gerencias y el 13% de los sindicatos mencionándolo como relevante.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Exportadores de fruta suben alerta por falta de agua y cifran en US$ 8 mil millones beneficio de ampliar riego a 2030</w:t>
      </w:r>
    </w:p>
    <w:p>
      <w:pPr>
        <w:spacing w:before="40" w:after="60"/>
        <w:ind w:left="283"/>
      </w:pPr>
      <w:r>
        <w:rPr>
          <w:rFonts w:ascii="Arial" w:hAnsi="Arial"/>
          <w:color w:val="404040"/>
          <w:sz w:val="21"/>
        </w:rPr>
        <w:t>El presidente de Frutas de Chile, Iván Marambio, alertó que la escasez hídrica se ha convertido en el principal obstáculo para expandir la producción frutícola nacional, estimando que regar 100 mil hectáreas adicionales generaría un impacto económico de US$8.000 millones —considerando que cada hectárea irrigada equivale a US$80.000 de beneficio— y permitiría crear 160.000 puestos de trabajo permanentes. El dirigente criticó la ausencia de una agenda estatal integral en infraestructura hídrica, más allá de las desaladoras, que contemple carreteras hídricas, trasvase de cuencas e irrigación planificada. En paralelo, Marambio informó sobre los avances en la negociación del Acuerdo de Asociación Económica Integral (CEPA) con India, cuya firma ve posible para este año, aunque subraya que la calidad del tratado prima sobre los plazos.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Heredero del FUT: utilidades pendientes de tributación final superan el tamaño del PIB chileno</w:t>
      </w:r>
    </w:p>
    <w:p>
      <w:pPr>
        <w:spacing w:before="40" w:after="60"/>
        <w:ind w:left="283"/>
      </w:pPr>
      <w:r>
        <w:rPr>
          <w:rFonts w:ascii="Arial" w:hAnsi="Arial"/>
          <w:color w:val="404040"/>
          <w:sz w:val="21"/>
        </w:rPr>
        <w:t>Datos del Servicio de Impuestos Internos (SII) del año tributario 2025 revelan que los saldos acumulados en el Registro de Rentas Afectas a Impuestos (RAI) —heredero operativo del extinto Fondo de Utilidades Tributarias (FUT)— ascienden a US$433.211 millones, equivalente al 122% del PIB chileno, siendo US$396.000 millones correspondientes a grandes compañías bajo el régimen semi integrado. El proyecto de ley miscelánea contempla una ventana de ocho meses para que contribuyentes retiren estos saldos pagando un impuesto sustitutivo único del 10%, mecanismo con el que el Fisco busca recaudar US$770 millones en dos años. Expertos consultados señalan que el interés es cauto y selectivo —especialmente entre sociedades familiares y personas con retiros históricos pendientes de tributación—, ya que la conveniencia depende del perfil tributario de cada contribuyente y del impacto que pueda tener una eventual baja en la tasa de primera categoría.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¿Qué se ha acordado y qué queda por resolver en las negociaciones entre Estados Unidos e Irán?</w:t>
      </w:r>
    </w:p>
    <w:p>
      <w:pPr>
        <w:spacing w:before="40" w:after="60"/>
        <w:ind w:left="283"/>
      </w:pPr>
      <w:r>
        <w:rPr>
          <w:rFonts w:ascii="Arial" w:hAnsi="Arial"/>
          <w:color w:val="404040"/>
          <w:sz w:val="21"/>
        </w:rPr>
        <w:t>El precio del petróleo cayó más del 5% este lunes —el WTI a US$91,6 y el Brent a US$98,14 por barril— ante las expectativas de un posible acuerdo entre Estados Unidos e Irán que reabriría el estrecho de Ormuz, luego de que Trump afirmara que las conversaciones avanzan de forma 'ordenada y constructiva'. El borrador contempla la firma de un memorando de entendimiento (MOU) con vigencia inicial de 60 días, en el que Irán retiraría las minas del estrecho y cesaría el cobro de peajes, a cambio de una relajación gradual del bloqueo portuario estadounidense y el levantamiento de sanciones. Sin embargo, la negociación sigue trabada en dos puntos clave: Irán exige detalles concretos sobre el levantamiento de sanciones antes de comprometerse, mientras Estados Unidos presiona por compromisos más claros sobre el programa nuclear iraní desde el inicio.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Papa León XIV advierte que la revolución de la IA está impulsada por la “idolatría de la ganancia”</w:t>
      </w:r>
    </w:p>
    <w:p>
      <w:pPr>
        <w:spacing w:before="40" w:after="60"/>
        <w:ind w:left="283"/>
      </w:pPr>
      <w:r>
        <w:rPr>
          <w:rFonts w:ascii="Arial" w:hAnsi="Arial"/>
          <w:color w:val="404040"/>
          <w:sz w:val="21"/>
        </w:rPr>
        <w:t>El pontífice afirmó que “no es permisible” delegar decisiones letales a sistemas artificiales. El papa León XIV durante la firma de la encíclica " a mediados de mes. (Foto: Reuters) El Papa León XIV pidió una regulación sólida de la inteligencia artificial (IA) y límites a su uso en contextos bélicos, al advertir sobre lospeligros de una revolución tecnológica impulsada por “la idolatría de la ganancia”.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Irán afirma que se llegó a conclusiones sobre varios asuntos con EEUU, pero sin un acuerdo inminente</w:t>
      </w:r>
    </w:p>
    <w:p>
      <w:pPr>
        <w:spacing w:before="40" w:after="60"/>
        <w:ind w:left="283"/>
      </w:pPr>
      <w:r>
        <w:rPr>
          <w:rFonts w:ascii="Arial" w:hAnsi="Arial"/>
          <w:color w:val="404040"/>
          <w:sz w:val="21"/>
        </w:rPr>
        <w:t>El portavoz del Ministerio de Relaciones Exteriores de Irán, Esmaeil Baghaei, confirmó que se alcanzaron conclusiones sobre varios puntos de un posible memorándum de entendimiento con Estados Unidos, pero aclaró que esto no significa que un acuerdo esté próximo a firmarse, añadiendo que las negociaciones actuales se centran en detener la guerra y no en asuntos nucleares. Trump afirmó que instruyó a sus representantes a no apresurarse, señalando que 'el tiempo está de nuestro lado', mientras el secretario de Estado Marco Rubio advirtió desde Nueva Delhi que si no se logra un buen acuerdo, Estados Unidos optará por 'otra vía'. El conflicto, que ya acumula tres meses, sigue condicionando los mercados energéticos globales, con el estrecho de Ormuz bloqueado como punto central de la negociación.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Karen Dynan, exsubsecretaria del Tesoro de Estados Unidos: “Es posible que la Fed necesite subir las tasas más adelante este año y eso podría crear fuerzas recesivas”</w:t>
      </w:r>
    </w:p>
    <w:p>
      <w:pPr>
        <w:spacing w:before="40" w:after="60"/>
        <w:ind w:left="283"/>
      </w:pPr>
      <w:r>
        <w:rPr>
          <w:rFonts w:ascii="Arial" w:hAnsi="Arial"/>
          <w:color w:val="404040"/>
          <w:sz w:val="21"/>
        </w:rPr>
        <w:t>La académica de Harvard catalogó de “sólido” el crecimiento de 2% que anticipa para EEUU este año, impulsado mayormente por la IA. Eso sí, advirtió que su previsión enfrenta más riesgos a la baja por la guerra en Irán. La exsubsecretaria de Política Económica y execonomista jefe del Departamento del Tesoro de Estados Unidos, Karen Dynan,asegura que la economía de su país está recibiendo un “impulso real” de la inteligencia artificial (IA), aunque deja planteada una interrogante: “En qué medida eso está enmascarando problemas subyacentes”. La actualmente académica de la Universidad de Harvard, en conversación con DF, asegura que el mayor problema que enfrenta la primera economía mundial es la guerra en Irán y su efecto inflacionario. De hecho, compartió la postura de los gobernadores disidentes de la Fed. Según las minutas de su reunión más reciente, estos se muestran partidarios de eliminar el sesgo de relajamiento monetario hacia adelante.</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Platanus Ventures internacionaliza sus hackathones, lanza club de inversionistas y levanta nuevo fondo</w:t>
      </w:r>
    </w:p>
    <w:p>
      <w:pPr>
        <w:spacing w:before="40" w:after="60"/>
        <w:ind w:left="283"/>
      </w:pPr>
      <w:r>
        <w:rPr>
          <w:rFonts w:ascii="Arial" w:hAnsi="Arial"/>
          <w:color w:val="404040"/>
          <w:sz w:val="21"/>
        </w:rPr>
        <w:t>La aceleradora chilena Platanus Ventures lanzó el Platanus Hack Latam Tour, un circuito de hackathones de 36 horas en cinco ciudades latinoamericanas —Buenos Aires, Ciudad de México, Bogotá, Caracas y Santiago—, donde equipos de programadores construyen productos desde cero en áreas como healthtech o el futuro del consumo, con el equipo ganador de cada país viajando a Chile y el chileno a San Francisco. Paralelamente, lanzó Kernel, un programa de formación de ocho sesiones para inversionistas ángeles con 25 cupos por cohorte, orientado a que operen con lógica de portafolio diversificado en lugar de apostar por una sola startup. En paralelo, la firma está desplegando su nuevo fondo de US$15 millones —el mismo tamaño que el de 2022, ya totalmente invertido— con el que financiará dos generaciones de su programa de aceleración en 2026, que invierte US$200.000 por el 7% de cada startup seleccionada.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Preocupante revés en protección de Datos</w:t>
      </w:r>
    </w:p>
    <w:p>
      <w:pPr>
        <w:spacing w:before="40" w:after="60"/>
        <w:ind w:left="283"/>
      </w:pPr>
      <w:r>
        <w:rPr>
          <w:rFonts w:ascii="Arial" w:hAnsi="Arial"/>
          <w:color w:val="404040"/>
          <w:sz w:val="21"/>
        </w:rPr>
        <w:t>El proceso para conformar el Consejo que pondrá en marcha la Agencia de Protección de Datos Personales sufrió un serio revés cuando el Senado rechazó la segunda terna de candidatos propuesta por el gobierno, por cuestionamientos de incompetencias e inhabilidades, dejando el proceso sin candidatos validados a una semana del plazo legal del 1 de junio. La agencia, con amplísimas facultades fiscalizadoras y sancionatorias sobre prácticamente cualquier organización que trate datos personales —incluyendo bancos, plataformas digitales, hospitales y municipios—, tendrá capacidad para definir estándares regulatorios sobre IA, biometría y perfilamiento algorítmico, lo que exige perfiles de alta solidez técnica y jurídica. Tras más de diez años de debate legislativo para aprobar la ley, el editorial advierte que Chile no puede darse el lujo de improvisar en la designación de quienes deberán aplicarla.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Crisis energética</w:t>
      </w:r>
    </w:p>
    <w:p>
      <w:pPr>
        <w:spacing w:before="40" w:after="60"/>
        <w:ind w:left="283"/>
      </w:pPr>
      <w:r>
        <w:rPr>
          <w:rFonts w:ascii="Arial" w:hAnsi="Arial"/>
          <w:color w:val="404040"/>
          <w:sz w:val="21"/>
        </w:rPr>
        <w:t>El conflicto en Medio Oriente y su impacto en el precio del petróleo vuelven a exponer la vulnerabilidad de la economía global —y en particular la de Chile— respecto a su dependencia de combustibles fósiles provenientes de pocas naciones. Sin embargo, el editorial señala que esta coyuntura también representa una oportunidad para Chile, dado su excepcional potencial en energía solar en el norte y eólica en el sur, junto con una base creciente de proyectos de energías limpias ya en desarrollo. El texto llama a actuar con decisión —invirtiendo, mejorando infraestructura y acelerando proyectos renovables en curso— como fórmula para reducir la exposición estructural del país a los shocks energéticos externos.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25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