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16 De Septiembre De 2026</w:t>
      </w:r>
    </w:p>
    <w:p>
      <w:pPr>
        <w:jc w:val="center"/>
      </w:pPr>
      <w:r>
        <w:rPr>
          <w:rFonts w:ascii="Arial" w:hAnsi="Arial"/>
          <w:color w:val="999999"/>
          <w:sz w:val="20"/>
        </w:rPr>
        <w:t>6 secciones  ·  24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El Banco Central acelera el paso para la internacionalización del peso</w:t>
      </w:r>
    </w:p>
    <w:p>
      <w:pPr>
        <w:spacing w:before="40" w:after="60"/>
        <w:ind w:left="283"/>
      </w:pPr>
      <w:r>
        <w:rPr>
          <w:rFonts w:ascii="Arial" w:hAnsi="Arial"/>
          <w:color w:val="404040"/>
          <w:sz w:val="21"/>
        </w:rPr>
        <w:t>Durante el ChileDay de Londres, la presidenta del Banco Central, Rosanna Costa, anunció que el organismo trabajará con las autoridades y la industria financiera para detectar los obstáculos operativos que frenan el uso del peso chileno entre inversionistas extranjeros y presentará una hoja de ruta durante el próximo año. Aunque reconoció avances como la autorización del peso en operaciones transfronterizas, la apertura de cuentas en pesos a no residentes, los contratos marco de derivados con estándar global y la entrada de bonos soberanos a Euroclear, admitió que la circulación internacional de la moneda sigue siendo acotada, que los títulos chilenos no integran los principales índices globales de renta fija y que la presencia extranjera se concentra en productos sin liquidación en pesos. Costa agregó que el instituto emisor sigue evaluando sumar el peso al sistema de liquidación de divisas CLS, un objetivo de largo plazo planteado ya en 2019 y que reforzaría la eficiencia y resiliencia del mercado cambiario. Subrayó que el proceso exige un compromiso compartido entre el sector público y privado para ganar profundidad y liquidez.</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Patria Investments en ChileDay en Londres: los inversionistas globales piden crecimiento y certeza en los plazos</w:t>
      </w:r>
    </w:p>
    <w:p>
      <w:pPr>
        <w:spacing w:before="40" w:after="60"/>
        <w:ind w:left="283"/>
      </w:pPr>
      <w:r>
        <w:rPr>
          <w:rFonts w:ascii="Arial" w:hAnsi="Arial"/>
          <w:color w:val="404040"/>
          <w:sz w:val="21"/>
        </w:rPr>
        <w:t>El managing partner y global head of clients de Patria Investments, Daniel Sorrentino, usó el caso de Aguas Pacífico —la desaladora de US$ 1.500 millones que abastece a Los Bronces de Anglo American— para graficar cómo las demoras en permisos erosionan la rentabilidad: el proyecto tardó diez años desde su concepción, entre dos y tres más de lo previsto, obligando a renegociar el contrato con la minera y diluyendo los retornos. La gestora, que administra más de US$ 62 mil millones y obtiene entre 50% y 60% de sus recursos de fondos soberanos, fondos de pensiones y aseguradoras internacionales, ve un entorno favorable para América Latina por la búsqueda de diversificación fuera de Estados Unidos ante tasas altas y tensiones geopolíticas. Sorrentino calificó a Chile como el país con mejor reputación de la región por su estabilidad institucional, banco central autónomo y membresía en la OCDE, pero advirtió que el bajo crecimiento desincentiva la inversión. Señaló interés concreto en autopistas chilenas —Patria es el tercer operador en Brasil y el mayor en Colombia— siempre que los actores privados locales lideren primero la apuesta.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levemente a la baja cerca de $ 950 en jornada clave por la expectativa de un alza en las tasas de interés en EEUU</w:t>
      </w:r>
    </w:p>
    <w:p>
      <w:pPr>
        <w:spacing w:before="40" w:after="60"/>
        <w:ind w:left="283"/>
      </w:pPr>
      <w:r>
        <w:rPr>
          <w:rFonts w:ascii="Arial" w:hAnsi="Arial"/>
          <w:color w:val="404040"/>
          <w:sz w:val="21"/>
        </w:rPr>
        <w:t>El dólar en Chile retrocedió $ 2 hasta $ 953,2 al inicio de la jornada del miércoles, tras haber tocado máximos de once meses a comienzos de semana, en una sesión marcada por la reunión de la Reserva Federal. Los mercados monetarios asignaban más de 90% de probabilidad a un alza de 25 puntos base en la tasa de fondos federales, lo que sería el primer endurecimiento monetario desde julio de 2023, y la atención estaba puesta también en el dot plot del Resumen de Proyecciones Económicas y en la conferencia del presidente de la Fed, Kevin Warsh. Analistas de Monex advirtieron que una decisión de mantener podría desencadenar fuertes ventas de bonos del Tesoro y del dólar global al reactivar el llamado debasement trade por desconfianza institucional, escenario que no es su caso base pero cuyo riesgo consideran subestimado. En paralelo, las tasas soberanas se relajaban tras el máximo del Tesoro a 10 años desde 2007, el petróleo cedía levemente y el cobre en Londres avanzaba 1% hasta US$ 6,45 la libra.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ILC plantea desde Londres dos flancos en la implementación de la reforma de pensiones</w:t>
      </w:r>
    </w:p>
    <w:p>
      <w:pPr>
        <w:spacing w:before="40" w:after="60"/>
        <w:ind w:left="283"/>
      </w:pPr>
      <w:r>
        <w:rPr>
          <w:rFonts w:ascii="Arial" w:hAnsi="Arial"/>
          <w:color w:val="404040"/>
          <w:sz w:val="21"/>
        </w:rPr>
        <w:t>El CEO de ILC, Pablo González, valoró la agenda de reformas del Gobierno en el ChileDay de Londres, pero alertó sobre dos aspectos de la implementación de la reforma previsional. El primero es la gobernanza del régimen de inversión: la nueva ley entrega a la Superintendencia de Pensiones la facultad de modificarlo sin pasar por el Congreso, algo que considera un riesgo regulatorio material por concentrar poder en una sola autoridad, y frente a lo cual propuso un esquema colegiado similar al del Banco Central o la CMF, como ya existe en Colombia y Perú. El segundo punto son los requisitos de capital: en torno a un año se licitará el 10% de los afiliados, lo que movería cerca de un millón de personas y unos US$ 20 mil millones a un eventual nuevo actor, que bajo la regla anterior habría necesitado un encaje de 1% de los fondos —unos US$ 200 millones— mientras que con la nueva norma la exigencia es cercana a cero. ILC administra más de US$ 100 mil millones en fondos de pensiones y paga 400 mil pensiones mensuales.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ChileDay de Londres parte destacando el rol clave de Chile en la transición energética mundial y la reforma al mercado de capitales</w:t>
      </w:r>
    </w:p>
    <w:p>
      <w:pPr>
        <w:spacing w:before="40" w:after="60"/>
        <w:ind w:left="283"/>
      </w:pPr>
      <w:r>
        <w:rPr>
          <w:rFonts w:ascii="Arial" w:hAnsi="Arial"/>
          <w:color w:val="404040"/>
          <w:sz w:val="21"/>
        </w:rPr>
        <w:t>El ChileDay comenzó en Londres con una asistencia récord de 400 personas, según destacó su presidente, Cristóbal Torres, en un encuentro centrado en atraer capital extranjero al mercado local. El embajador Diego Paulsen enfatizó el rol de Chile en minerales críticos, cobre y litio, además de servicios globales y agricultura, mientras que la presentación central estuvo a cargo del ministro de Hacienda, Jorge Quiroz, enfocada en el mercado de capitales y la situación económica del país. La agenda contempló un panel sobre la reforma MK4 con la presidenta de la CMF, Catherine Tornel, el coordinador de Mercado de Capitales Eugenio Symon, la presidenta de Acafi María José Montero y la gestora de BlackRock Emily Fletcher, además de una conversación previsional con el superintendente Joaquín Cortez y el presidente de la Asociación de AFP, León Fernández de Castro. También participaron el exministro Felipe Larraín sobre el objetivo de convertir a Chile en centro financiero regional, los senadores Paulina Vodanovic y Javier Macaya sobre la tramitación legislativa, y representantes de ILC, Anglo American y Patria Investments.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Por primera vez en 22 años, Termas Geométricas dejan de operar: arrendatario del recinto anuncia traslado y dueño del terreno promete reapertura</w:t>
      </w:r>
    </w:p>
    <w:p>
      <w:pPr>
        <w:spacing w:before="40" w:after="60"/>
        <w:ind w:left="283"/>
      </w:pPr>
      <w:r>
        <w:rPr>
          <w:rFonts w:ascii="Arial" w:hAnsi="Arial"/>
          <w:color w:val="404040"/>
          <w:sz w:val="21"/>
        </w:rPr>
        <w:t>Las Termas Geométricas, ubicadas en el Fundo Cajón Negro de Panguipulli, cesarán operaciones en su locación actual el 30 de septiembre tras más de dos décadas de funcionamiento continuo desde su apertura en 2002. La administración aclaró que la marca no desaparece y que trasladará el proyecto a una nueva ubicación aún no revelada, sin entregar montos de inversión ni plazos, mientras que la familia Martini, dueña del terreno, sostuvo que lo que termina es el contrato de arriendo por incumplimientos graves y que el centro termal reabrirá. El complejo, diseñado por el arquitecto Germán del Sol (Premio Nacional de Arquitectura 2006) al interior del Parque Nacional Villarrica, se consolidó como un negocio altamente rentable del turismo de intereses especiales, con 17 piscinas de 39° a 41°C alimentadas por más de 60 fuentes termales de entre 65° y 85°C. Su conducción hídrica opera sin conexión eléctrica mediante acequias de madera por gravedad inspiradas en molinos mapuches, un sello de bajo impacto ambiental.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Biministro Mas en Londres hace llamado a las mineras privadas a asociarse con Codelco</w:t>
      </w:r>
    </w:p>
    <w:p>
      <w:pPr>
        <w:spacing w:before="40" w:after="60"/>
        <w:ind w:left="283"/>
      </w:pPr>
      <w:r>
        <w:rPr>
          <w:rFonts w:ascii="Arial" w:hAnsi="Arial"/>
          <w:color w:val="404040"/>
          <w:sz w:val="21"/>
        </w:rPr>
        <w:t>Desde el ChileDay de Londres, el biministro de Economía y Minería, Daniel Mas, invitó explícitamente a Freeport-McMoRan, Anglo American-Teck y Rio Tinto a buscar asociaciones con Codelco, cuya producción ronda hoy 1,4 millones de toneladas anuales de cobre con una meta de 1,7 a 1,8 millones, apoyada en el mayor Capex anual de su historia. En litio, señaló que Sernageomin identifica 69 salares en el país y solo el de Atacama está en producción; de los cinco Contratos Especiales de Operación de Litio trabados en Contraloría, dos ingresaron la semana pasada y los tres restantes lo harán la próxima, lo que calificó como el primer avance concreto en tres décadas. Mas también planteó pensar en un distrito minero sudamericano junto a Argentina, Perú y Bolivia —bloque que concentra cerca de 35% de la producción global de cobre—, con Chile como plataforma logística, financiera y de servicios, y destacó el potencial de las exportaciones de servicios mineros, hoy algo más de US$ 500 millones. Sumó además oportunidades en tierras raras y minerales críticos, con un acuerdo firmado con Estados Unidos y 12 compañías avanzando en proyectos.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Tras voraz incendio, Nevados de Chillán anuncia pronta reconstrucción del hotel: “Nuestro objetivo es un recinto moderno y seguro”</w:t>
      </w:r>
    </w:p>
    <w:p>
      <w:pPr>
        <w:spacing w:before="40" w:after="60"/>
        <w:ind w:left="283"/>
      </w:pPr>
      <w:r>
        <w:rPr>
          <w:rFonts w:ascii="Arial" w:hAnsi="Arial"/>
          <w:color w:val="404040"/>
          <w:sz w:val="21"/>
        </w:rPr>
        <w:t>El gerente general de Nevados de Chillán, Manuel Dinamarca, confirmó que la concesionaria reconstruirá el hotel Alto Nevados y el sector Plaza Otto, destruidos por un incendio el 6 de septiembre, manteniendo una escala similar de aproximadamente 5.500 metros cuadrados y 95 habitaciones, junto con restaurante, cafetería, escuela de esquí y arriendo de equipos. Las obras solo comenzarán una vez concluidos los peritajes del Ministerio Público y Labocar, la evaluación técnica y los permisos, y la empresa no ha definido el monto de inversión, cifra sujeta además al análisis de las aseguradoras; la meta es tener el recinto listo para la próxima temporada. Durante el siniestro, que se inició pasadas las 17:00 horas con unos 120 pasajeros alojados, la evacuación se completó sin víctimas ni personas en riesgo vital. A los huéspedes con reservas activas se les ofrece reubicación en el hotel Nevados con reagendamiento sin costo por un año o devolución del dinero, mientras el resto del centro invernal retomó operaciones el 8 de septiembre.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Nuevo BordeRío: Consorcio ganador y municipio de Vitacura escalan disputa luego que tribunal declarara ilegal la adjudicación</w:t>
      </w:r>
    </w:p>
    <w:p>
      <w:pPr>
        <w:spacing w:before="40" w:after="60"/>
        <w:ind w:left="283"/>
      </w:pPr>
      <w:r>
        <w:rPr>
          <w:rFonts w:ascii="Arial" w:hAnsi="Arial"/>
          <w:color w:val="404040"/>
          <w:sz w:val="21"/>
        </w:rPr>
        <w:t>El Consorcio Parque Río, vinculado a Nicolás Álamo y Jorge Muñoz, y la Municipalidad de Vitacura recurrieron a la Corte de Apelaciones de Santiago para revocar el fallo del Tribunal de Contratación Pública que el 26 de agosto declaró ilegal y arbitraria la adjudicación de la concesión del centro gastronómico BordeRío por 15 años, otorgada mediante decreto alcaldicio del 17 de diciembre de 2025. La impugnación provino de Minera y Constructora Río Grande, firma familiar del Biobío que quedó segunda, y se centró en que la Comisión Evaluadora corrigió de oficio un monto del Anexo N° 5 de la oferta ganadora que consignaba 4.644 UTM en lugar de 46.440 UTM, rectificación que permitió asignarle 67,42 puntos en el criterio económico en vez de 6,74. El abogado del consorcio, Vicente Portales, argumentó que la comisión solo rectificó un error intrascendente ajeno a la oferta económica, cuyo factor evaluable eran las 258 UTM mensuales ofertadas. La abogada del municipio, Daniela Carrasco, sostuvo que la sentencia confunde el aporte mensual con una cifra derivada de multiplicarlo por los meses del período inicial.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Anglo American en ChileDay 2026: la prueba para la minería será la consistencia</w:t>
      </w:r>
    </w:p>
    <w:p>
      <w:pPr>
        <w:spacing w:before="40" w:after="60"/>
        <w:ind w:left="283"/>
      </w:pPr>
      <w:r>
        <w:rPr>
          <w:rFonts w:ascii="Arial" w:hAnsi="Arial"/>
          <w:color w:val="404040"/>
          <w:sz w:val="21"/>
        </w:rPr>
        <w:t>La CEO interina de Anglo American Chile, Tzveta Tchorbadjieva, afirmó en el panel "¿Por qué invertir en Chile?" del ChileDay 2026 que el país está bien posicionado para capturar la creciente demanda global por minerales críticos, gracias a sus recursos de alta calidad y a su entorno institucional. Valoró que las reformas anunciadas apunten a la previsibilidad y certeza regulatoria, dos elementos clave para inversionistas de largo plazo, y celebró en particular las mejoras introducidas por la ley de reconstrucción, aunque advirtió que la verdadera prueba será la aplicación coherente y consistente de esos cambios a lo largo de la vida útil de los proyectos. Entre los desafíos pendientes mencionó la formación de la próxima generación de profesionales mineros, la infraestructura de agua, energía y logística, una mayor participación de Chile en la cadena de valor y el fortalecimiento de la colaboración público-privada. Como ejemplo de esto último destacó el plan minero conjunto entre Los Bronces y Andina, cuyo acuerdo definitivo con Codelco se cerró en junio pasado.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Collahuasi duplica sus utilidades a US$ 673 millones pese a caída en la producción de cobre</w:t>
      </w:r>
    </w:p>
    <w:p>
      <w:pPr>
        <w:spacing w:before="40" w:after="60"/>
        <w:ind w:left="283"/>
      </w:pPr>
      <w:r>
        <w:rPr>
          <w:rFonts w:ascii="Arial" w:hAnsi="Arial"/>
          <w:color w:val="404040"/>
          <w:sz w:val="21"/>
        </w:rPr>
        <w:t>Compañía Minera Doña Inés de Collahuasi, controlada por Anglo American y Glencore, obtuvo utilidades por US$ 673 millones en el primer semestre de 2026, un alza de 108% frente a los US$ 323 millones del mismo período de 2025, impulsada por el mayor precio del cobre y eficiencias de costos. Los ingresos por ventas de concentrado, incluidos subproductos, llegaron a US$ 2.377 millones y el Ebitda a US$ 1.529 millones, mientras que la producción cayó 2,4% interanual hasta 184.945 toneladas de cobre fino, aunque el segundo trimestre mostró un repunte de 10% respecto del primero. La mayor rentabilidad elevó la carga tributaria a US$ 430 millones, de los cuales US$ 271 millones fueron impuesto a la renta y US$ 159,4 millones royalty minero, casi el triple de los US$ 59 millones del año anterior por este último concepto. Los resultados coinciden con una renovación de la plana ejecutiva tras la salida de Jorge Gómez a Codelco: desde julio la lidera Patricio Hidalgo, con la incorporación de Gonzalo Lara y Pedro González-Carbonell en nuevas vicepresidencias.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La opción de mantener la tasa fue “claramente dominante” en la última reunión del Banco Central</w:t>
      </w:r>
    </w:p>
    <w:p>
      <w:pPr>
        <w:spacing w:before="40" w:after="60"/>
        <w:ind w:left="283"/>
      </w:pPr>
      <w:r>
        <w:rPr>
          <w:rFonts w:ascii="Arial" w:hAnsi="Arial"/>
          <w:color w:val="404040"/>
          <w:sz w:val="21"/>
        </w:rPr>
        <w:t>La minuta de la Reunión de Política Monetaria de septiembre reveló que la decisión de mantener la Tasa de Política Monetaria en 4,5% fue unánime y que el Consejo del Banco Central coincidió en que esa alternativa era claramente dominante, por su coherencia con el escenario central del IPoM y por estar ampliamente incorporada en las expectativas del mercado. Los consejeros concordaron en que el panorama macroeconómico sigue sujeto a una incertidumbre mayor a la habitual, con riesgos ligados al conflicto en Medio Oriente que incluso se habrían intensificado recientemente. Aunque el escenario base contempla que la economía local retome impulso hacia 2027, se advirtió que no puede descartarse que la debilidad actual resulte más persistente de lo previsto, por lo que todos los consejeros plantearon la necesidad de seguir evaluando escenarios alternativos que pudieran exigir ajustes en la orientación monetaria. Pese a ello, hubo total coincidencia en que la dinámica inflacionaria evoluciona según lo previsto, con convergencia a 3% en el segundo trimestre de 2027 y expectativas a dos años ancladas en la meta.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Ministro Quiroz adelanta ejes de plan de reactivación, presupuesto y dice que hay una recesión minera que hace ser cauto en la proyección de agosto</w:t>
      </w:r>
    </w:p>
    <w:p>
      <w:pPr>
        <w:spacing w:before="40" w:after="60"/>
        <w:ind w:left="283"/>
      </w:pPr>
      <w:r>
        <w:rPr>
          <w:rFonts w:ascii="Arial" w:hAnsi="Arial"/>
          <w:color w:val="404040"/>
          <w:sz w:val="21"/>
        </w:rPr>
        <w:t>El ministro de Hacienda, Jorge Quiroz, afirmó tras el ChileDay que Chile despierta un interés renovado entre los inversionistas, aunque estos insistieron en dos nudos pendientes: la seguridad jurídica de los permisos —el riesgo de que una RCA sea cuestionada años después— y la seguridad física de las inversiones eléctricas en el norte del país. Adelantó que la próxima semana presentará un plan de reactivación con tres ejes: adelantar licitaciones y procesos administrativos para que la ejecución de Obras Públicas parta al 100% desde enero, activar inversiones regionales de rápida ejecución y profundizar el pronto pago a proveedores, con la meta de un crecimiento de la inversión de 8,1% el próximo año, cifra que Hacienda y el Banco Central calcularon por separado y coincidieron. El dato más revelador fue su reconocimiento de que julio sorprendió con una caída de casi 10% en la producción minera y que el año cerraría con una contracción sectorial de 7%, una "gran recesión minera" ajena a la política fiscal que lo obliga a ser cauto con la proyección de agosto. Sobre el Presupuesto 2027, confirmó un techo de gasto que no superará 1% de crecimiento, con ejes en seguridad, infraestructura y pobreza y niñez, y descartó la necesidad de bajar la TPM por el rezago de seis meses con que operan esos efectos.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Quiroz ante una sala llena al inicio del ChileDay en Londres: Hay que recuperar la dignidad de los negocios</w:t>
      </w:r>
    </w:p>
    <w:p>
      <w:pPr>
        <w:spacing w:before="40" w:after="60"/>
        <w:ind w:left="283"/>
      </w:pPr>
      <w:r>
        <w:rPr>
          <w:rFonts w:ascii="Arial" w:hAnsi="Arial"/>
          <w:color w:val="404040"/>
          <w:sz w:val="21"/>
        </w:rPr>
        <w:t>El ministro de Hacienda, Jorge Quiroz, reafirmó ante una sala llena en el ChileDay de Londres la meta del Gobierno de cuadruplicar el ritmo de crecimiento de la inversión, llevándola desde una expansión anual de 1,7% actual hasta 8%, el nivel que dominó entre 2000 y 2013, como condición para que el país vuelva a crecer a tasas de 4%. Dedicó buena parte de su exposición a los avances en la reducción de plazos de permisos ambientales y sectoriales, y al rol de la reforma al mercado de capitales combinada con la ley de Reconstrucción Nacional en ese objetivo, ofreciendo a cambio sustentabilidad fiscal y una gestión decidida. El elemento nuevo de su mensaje fue la dignidad de la actividad empresarial: apoyándose en la obra de la economista Deirdre McCloskey, sostuvo que los países crecen cuando confluyen libertad para emprender, retornos que justifiquen invertir y un entorno social que valore el emprendimiento. Advirtió que existe un movimiento antiempresa que excede a Chile y que la dignidad es el único de esos factores que no puede modificarse por decreto ni por ley.</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Presidenta del consejo de la CMF por MK4: “Podría beneficiar a los accionistas minoritarios a través de proveer mayor liquidez a sus acciones”</w:t>
      </w:r>
    </w:p>
    <w:p>
      <w:pPr>
        <w:spacing w:before="40" w:after="60"/>
        <w:ind w:left="283"/>
      </w:pPr>
      <w:r>
        <w:rPr>
          <w:rFonts w:ascii="Arial" w:hAnsi="Arial"/>
          <w:color w:val="404040"/>
          <w:sz w:val="21"/>
        </w:rPr>
        <w:t>La presidenta del Consejo de la CMF, Catherine Tornel, defendió desde Londres la reforma al mercado de capitales MK4 y sostuvo que la rebaja de quórums en la Ley de Sociedades Anónimas podría favorecer a los accionistas minoritarios si reduce la concentración de propiedad y aumenta la liquidez bursátil: en Chile un solo accionista controla en promedio 59% de las sociedades listadas y los tres principales el 79%, frente a promedios OCDE de 16% y 33%. Negó que la reforma blinde a los directores, aclarando que solo precisa que no se infringe el estándar de cuidado cuando se actúa de buena fe con información incompleta, y que subsisten las sanciones administrativas y la vía judicial. Sobre el Fonavi, explicó que al comprar créditos hipotecarios transfiere el riesgo desde la banca al fondo tras aplicar el deducible, liberando capital para nuevos créditos a menores tasas, plazos más largos y menor pie. También detalló que el proyecto convierte el capital contracíclico en un colchón al estilo de Basilea III —cuyo incumplimiento solo impide repartir dividendos— y baja su mínimo de 1% a cero, además de flexibilizar la Ley Única de Fondos y crear un segmento bursátil junior para empresas de innovación y exploración minera.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Tipo de cambio presionaría la inflación de septiembre y octubre, mientras se espera una nueva alza en bencinas</w:t>
      </w:r>
    </w:p>
    <w:p>
      <w:pPr>
        <w:spacing w:before="40" w:after="60"/>
        <w:ind w:left="283"/>
      </w:pPr>
      <w:r>
        <w:rPr>
          <w:rFonts w:ascii="Arial" w:hAnsi="Arial"/>
          <w:color w:val="404040"/>
          <w:sz w:val="21"/>
        </w:rPr>
        <w:t>Las tensiones en Medio Oriente, con el barril WTI sobre US$ 100, y un tipo de cambio que llegó a $ 960 el lunes y cerró en $ 956 el martes, llevarían la inflación anual de septiembre y octubre a un rango de entre 4,1% y 4,5%. Estudios Santander proyectó variaciones mensuales de 0,5% y 0,4%, con un efecto acotado del tipo de cambio por sus rezagos de traspaso; el economista de Itaú, Ignacio Martínez, estimó 0,57% en septiembre y 0,36% en octubre para llegar a 4,3% y 4,5% anual; XTB previó 0,7% y 0,5%; y Juan Ortiz, del OCEC-UDP, calculó alzas más acotadas de 0,4% y 0,2%. Jorge Hermann, de Hermann Consultores, anticipó 0,6% en septiembre y 0,2% en octubre por el efecto Cyber Day, y proyectó una inflación cercana a 5% a diciembre de 2026 si el conflicto no se resuelve. Para el reajuste de combustibles del 1 de octubre, las estimaciones apuntan a alzas de entre $ 30 y $ 39 por litro en gasolinas y de entre $ 80 y $ 100 en diésel, con Hermann advirtiendo que aún quedarían por traspasar $ 180 y $ 280 por litro, respectivamente.</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Economistas y el sector empresarial ponen condiciones al plan de emergencia laboral de Kast: “Por sí solo, no es suficiente”</w:t>
      </w:r>
    </w:p>
    <w:p>
      <w:pPr>
        <w:spacing w:before="40" w:after="60"/>
        <w:ind w:left="283"/>
      </w:pPr>
      <w:r>
        <w:rPr>
          <w:rFonts w:ascii="Arial" w:hAnsi="Arial"/>
          <w:color w:val="404040"/>
          <w:sz w:val="21"/>
        </w:rPr>
        <w:t>Con una tasa de desempleo de 9,5%, el Presidente José Antonio Kast encargó a Hacienda, Trabajo, Obras Públicas, Vivienda y la Subdere elaborar en tres meses un plan de emergencia laboral basado en acelerar obras públicas, proyectos habitacionales e iniciativas regionales, además de eventuales subsidios. El mundo privado y los economistas valoraron la prioridad, pero coincidieron en que las medidas solo contendrían el deterioro: María José Abud, de Horizontal, sugirió dobles turnos en obras ya en ejecución y crear un subsidio de empleo de emergencia al estilo del IFE laboral; Soledad Hormazábal, de Pivotes, distinguió entre desempleo cíclico y estructural y estimó que los 25 mil cupos del subsidio vigente permitirían reducir el desempleo en un máximo de 0,2 punto porcentual. La presidenta de la CPC, Susana Jiménez, y Sofofa insistieron en modernizar la regulación laboral y reducir los costos de contratación, recordando un estudio gremial según el cual Chile debería crecer entre 0,6% y 1,1% adicional cada año solo para compensar las reformas laborales ya implementadas, bajo riesgo de perder entre 387 mil y 712 mil empleos hacia 2033. En paralelo, el Gobierno anunció un acuerdo con el CAF que pondrá US$ 6 mil millones a disposición del país en cuatro años.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El Minvu defiende su ejecución presupuestaria con foco en una mayor construcción de viviendas este año</w:t>
      </w:r>
    </w:p>
    <w:p>
      <w:pPr>
        <w:spacing w:before="40" w:after="60"/>
        <w:ind w:left="283"/>
      </w:pPr>
      <w:r>
        <w:rPr>
          <w:rFonts w:ascii="Arial" w:hAnsi="Arial"/>
          <w:color w:val="404040"/>
          <w:sz w:val="21"/>
        </w:rPr>
        <w:t>El ministro de Vivienda y Urbanismo, Iván Poduje, rebatió las cifras de la Dipres que muestran al Minvu ejecutando solo 33,6% de su presupuesto de inversión a julio frente a 46,5% un año antes, argumentando que ese ítem representa apenas 7% del gasto de la cartera y deja fuera el 93% destinado a transferencias de capital para construcción de viviendas, rubro que crece 10% anual y acumula 53,9% de ejecución. Los datos fiscales muestran que el gasto de capital del sector público se contrajo 16% en julio y 14,2% en el acumulado del año, con la inversión pública cayendo 23,5%, lo que explica en parte el plan del Gobierno para agilizar el gasto en el cuarto trimestre. Poduje pedirá a la Dipres transparentar que el principal indicador de actividad del ministerio es la construcción de viviendas, donde la ejecución llega a 62% y se han generado 172.000 empleos, y acusó que la propia Dipres demoró cuatro meses en liberar unos $ 12.000 millones para pavimentación urbana. A agosto la cartera ejecutó 55% de su gasto neto (US$ 3.747 millones) y proyecta cerrar el año con una sobreejecución de 103,8% en vivienda, equivalente a US$ 6.063 millones, y 259.000 empleos asociados.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Los líderes de Nvidia y Meta rechazan esfuerzos para coordinar una desaceleración de la IA</w:t>
      </w:r>
    </w:p>
    <w:p>
      <w:pPr>
        <w:spacing w:before="40" w:after="60"/>
        <w:ind w:left="283"/>
      </w:pPr>
      <w:r>
        <w:rPr>
          <w:rFonts w:ascii="Arial" w:hAnsi="Arial"/>
          <w:color w:val="404040"/>
          <w:sz w:val="21"/>
        </w:rPr>
        <w:t>Jensen Huang, de Nvidia, y Mark Zuckerberg, de Meta, se desmarcaron de la propuesta de Dario Amodei (Anthropic), Sam Altman (OpenAI) y Elon Musk de coordinar una desaceleración de la investigación en inteligencia artificial para atender riesgos existenciales, iniciativa que sí recibió respaldo de Google y Microsoft. Huang sostuvo en un evento en San Francisco junto al CEO de Salesforce, Marc Benioff, que no hacen falta nuevas leyes ni regulaciones en Estados Unidos porque las fuerzas del mercado bastan, y que cada compañía debe abstenerse de lanzar productos en los que no confíe, rechazando la falsa dicotomía entre velocidad e innovación segura. Zuckerberg, en una publicación en X, argumentó que cada laboratorio tiene el incentivo y la responsabilidad legal de entrenar sus modelos de forma segura, y citó como ejemplo que Meta retrasó varios meses el lanzamiento de su agente Muse sin pedir a otros que hicieran lo mismo. La disputa refleja la división entre los desarrolladores de modelos cerrados y los defensores de sistemas abiertos, y Huang se ha alineado con Donald Trump, quien volvió a calificar de farsa las preocupaciones existenciales.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Encuesta de la Universidad de Chicago muestra amplio respaldo de economistas top a un alza de tasas de la Fed</w:t>
      </w:r>
    </w:p>
    <w:p>
      <w:pPr>
        <w:spacing w:before="40" w:after="60"/>
        <w:ind w:left="283"/>
      </w:pPr>
      <w:r>
        <w:rPr>
          <w:rFonts w:ascii="Arial" w:hAnsi="Arial"/>
          <w:color w:val="404040"/>
          <w:sz w:val="21"/>
        </w:rPr>
        <w:t>Una encuesta de la Booth School of Business de la Universidad de Chicago para el Financial Times mostró que 50 de 51 economistas destacados consideran que la Fed debe subir las tasas desde el rango actual de 3,5%-3,75%, respaldando la postura de su presidente Kevin Warsh frente a los llamados de Donald Trump a mantener bajos los costos de endeudamiento. Aunque la mayoría apoya un alza de un cuarto de punto, 14% pidió medio punto ante el temor de que el encarecimiento de los combustibles derivado del conflicto con Irán derive en una crisis inflacionaria más amplia. El índice PCE general se ubica en 3,7%, casi el doble de la meta de 2%, y casi 90% de los encuestados no espera que la Fed alcance ese objetivo antes de 2028; los precios al consumidor subieron 0,4% entre julio y agosto, dejando la inflación anual en 3,4% y llevando a los traders a asignar 95% de probabilidad a un alza. Economistas como Olivier Coibion, Alan Blinder y Jón Steinsson criticaron el retraso de la Fed, mientras Sebnem Kalemli-Ozcan consideró la decisión un 50-50.</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Ursula von der Leyen respalda la propuesta de Canadá para convertirse en “miembro asociado” de la UE</w:t>
      </w:r>
    </w:p>
    <w:p>
      <w:pPr>
        <w:spacing w:before="40" w:after="60"/>
        <w:ind w:left="283"/>
      </w:pPr>
      <w:r>
        <w:rPr>
          <w:rFonts w:ascii="Arial" w:hAnsi="Arial"/>
          <w:color w:val="404040"/>
          <w:sz w:val="21"/>
        </w:rPr>
        <w:t>La presidenta de la Comisión Europea, Ursula von der Leyen, respaldó ante el Parlamento Europeo la propuesta del primer ministro canadiense Mark Carney de convertir a su país en el primer miembro asociado de la Unión Europea, planteamiento que generó una ovación de pie de los legisladores y que busca profundizar vínculos con Ottawa frente a las presiones de Estados Unidos y China. La UE carece de un marco para esa figura, por lo que la iniciativa requeriría aprobación unánime de los 27 Estados miembros, varios de los cuales recelan tanto de la reacción de Trump como de otorgar trato preferencial a Canadá. El Acuerdo Económico y Comercial Global (Ceta) aún no ha sido ratificado por diez países, entre ellos Francia, Italia y Polonia, nueve años después de su firma, y con elecciones previstas el próximo año en esas tres naciones las perspectivas de ratificación se estrechan, aunque el tratado ya se aplica provisionalmente. Von der Leyen anunció que ambas partes pasarán del Ceta a una Alianza para el Futuro que abarcaría manufactura inteligente, integración de bases industriales de defensa, energía, minerales críticos, baterías, inteligencia artificial, computación cuántica y ciberseguridad.</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OpenAI evalúa nueva ronda de financiamiento a una valoración de US$ 1,2 billones antes de salir a bolsa</w:t>
      </w:r>
    </w:p>
    <w:p>
      <w:pPr>
        <w:spacing w:before="40" w:after="60"/>
        <w:ind w:left="283"/>
      </w:pPr>
      <w:r>
        <w:rPr>
          <w:rFonts w:ascii="Arial" w:hAnsi="Arial"/>
          <w:color w:val="404040"/>
          <w:sz w:val="21"/>
        </w:rPr>
        <w:t>OpenAI sostiene conversaciones preliminares con grandes inversionistas para levantar una nueva ronda privada que la valoraría en US$ 1,2 billones, por sobre los US$ 852.000 millones alcanzados en marzo cuando captó US$ 122.000 millones. Las negociaciones, iniciadas por los propios inversionistas, están en etapa inicial y su concreción dependerá del calendario de la salida a bolsa, que Sam Altman estima improbable antes de 2027 por considerar un momento poco aconsejable dada la creciente preocupación por los riesgos existenciales de la IA; la compañía presentó confidencialmente su prospecto en junio pero postergó los plazos. El impulso proviene del lanzamiento de GPT-5.6 en julio y Astra este mes, que elevaron los ingresos anualizados por sobre US$ 40.000 millones tras un salto de 20%, después de un inicio de año lento en el que Anthropic la superó con una valoración post-money de US$ 965.000 millones. Una nueva ronda permitiría a SoftBank y Thrive Capital ampliar su exposición, aunque prolongaría la espera por retornos; OpenAI gastó US$ 34.000 millones el año pasado, mientras Anthropic se encamina a un segundo trimestre rentable ajustado y podría debutar en bolsa en octubre con una valoración cercana a US$ 2 billones.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Karlfranz Koehler, subsecretario de Economía y Empresas de Menor Tamaño: “Tenemos que ser muy precavidos para que la Ley de Protección de Datos no aumente la mochila regulatoria de las empresas”</w:t>
      </w:r>
    </w:p>
    <w:p>
      <w:pPr>
        <w:spacing w:before="40" w:after="60"/>
        <w:ind w:left="283"/>
      </w:pPr>
      <w:r>
        <w:rPr>
          <w:rFonts w:ascii="Arial" w:hAnsi="Arial"/>
          <w:color w:val="404040"/>
          <w:sz w:val="21"/>
        </w:rPr>
        <w:t>El subsecretario de Economía y Empresas de Menor Tamaño, Karlfranz Koehler, defendió el proyecto ingresado por el Gobierno al Senado que posterga en un año la entrada en vigencia de la Ley de Protección de Datos Personales, fijada para el 1 de diciembre de 2026, y que amplía de tres a cinco los integrantes del Consejo Directivo de la futura Agencia de Protección de Datos con renovación parcial cada dos años. La iniciativa también extiende a todas las empresas —no solo a las pymes— el período de gracia de 12 meses en que solo se aplicarán amonestaciones escritas en lugar de multas, que bajo la ley aprobada en 2024 pueden llegar a 20 mil UTM (unos $ 1.400 millones) o a entre 2% y 4% de los ingresos del año anterior en casos de reincidencia grave. Koehler argumentó que se busca evitar el alto costo que tuvo el RGPD europeo para las empresas de menor tamaño y la debilidad institucional del regulador en su arranque, y adelantó que entre octubre y noviembre presentarán al Senado la quina de consejeros, con el objetivo de tener el Consejo constituido en diciembre. Añadió que el principal desafío estatal será acelerar la interoperabilidad de datos para que la ley no se traduzca en una carga adicional para el sector privado.</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Fonavi: Los detalles que faltan</w:t>
      </w:r>
    </w:p>
    <w:p>
      <w:pPr>
        <w:spacing w:before="40" w:after="60"/>
        <w:ind w:left="283"/>
      </w:pPr>
      <w:r>
        <w:rPr>
          <w:rFonts w:ascii="Arial" w:hAnsi="Arial"/>
          <w:color w:val="404040"/>
          <w:sz w:val="21"/>
        </w:rPr>
        <w:t>La creación del Fondo Nacional para la Vivienda (Fonavi), presentada el 9 de septiembre dentro de la reforma al mercado de capitales MK4, apunta al déficit habitacional de la clase media y ha conseguido respaldo político y técnico transversal, sustentado en cifras de la Abif que muestran un alza de 170% en los precios de las viviendas entre 2002 y 2023 frente a solo 57% en los ingresos reales de los hogares. El fondo será administrado por BancoEstado con capital fiscal de hasta US$ 2.000 millones —US$ 500 millones iniciales— para adquirir créditos hipotecarios de primeras viviendas de hasta 6.000 UF, mientras el Ahorro Voluntario para la Vivienda reduciría el pie exigido de 20% a 10% combinando 7% de ahorro personal y 3% de subsidio estatal, con una baja estimada por Hacienda de unos 100 puntos base en las tasas hipotecarias en tres a cuatro años. Los reparos apuntan a acotar la garantía estatal bajo el 100%, calcular el deducible sobre carteras completas y no operación por operación para evitar selección adversa de los bancos, y registrar la garantía como obligación contingente explícita del Estado. El proyecto ya contempla una primera pérdida bancaria cercana a 3,5% por operación, que el presidente de la Abif, José Manuel Mena, acepta como medida transitoria si existen reglas claras.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16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