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960"/>
        <w:jc w:val="left"/>
      </w:pPr>
    </w:p>
    <w:p>
      <w:pPr>
        <w:spacing w:after="120"/>
        <w:jc w:val="center"/>
      </w:pPr>
      <w:r>
        <w:rPr>
          <w:rFonts w:ascii="Arial" w:hAnsi="Arial"/>
          <w:b/>
          <w:color w:val="1F4E79"/>
          <w:sz w:val="60"/>
        </w:rPr>
        <w:t>DIARIO FINANCIERO</w:t>
      </w:r>
    </w:p>
    <w:p>
      <w:pPr>
        <w:spacing w:after="80"/>
        <w:jc w:val="center"/>
      </w:pPr>
      <w:r>
        <w:rPr>
          <w:rFonts w:ascii="Arial" w:hAnsi="Arial"/>
          <w:b w:val="0"/>
          <w:color w:val="404040"/>
          <w:sz w:val="32"/>
        </w:rPr>
        <w:t>Resumen Ejecutivo del Día</w:t>
      </w:r>
    </w:p>
    <w:p>
      <w:pPr>
        <w:spacing w:after="200"/>
        <w:jc w:val="center"/>
      </w:pPr>
      <w:r>
        <w:rPr>
          <w:rFonts w:ascii="Arial" w:hAnsi="Arial"/>
          <w:color w:val="2E75B6"/>
          <w:sz w:val="26"/>
        </w:rPr>
        <w:t>15 De Mayo De 2026</w:t>
      </w:r>
    </w:p>
    <w:p>
      <w:pPr>
        <w:jc w:val="center"/>
      </w:pPr>
      <w:r>
        <w:rPr>
          <w:rFonts w:ascii="Arial" w:hAnsi="Arial"/>
          <w:color w:val="999999"/>
          <w:sz w:val="20"/>
        </w:rPr>
        <w:t>6 secciones  ·  16 artículos</w:t>
      </w:r>
    </w:p>
    <w:p>
      <w:pPr>
        <w:spacing w:before="0" w:after="0"/>
      </w:pPr>
      <w:r>
        <w:br w:type="page"/>
      </w:r>
    </w:p>
    <w:p>
      <w:pPr>
        <w:spacing w:before="0" w:after="240"/>
      </w:pPr>
      <w:r>
        <w:rPr>
          <w:rFonts w:ascii="Arial" w:hAnsi="Arial"/>
          <w:b/>
          <w:color w:val="1F4E79"/>
          <w:sz w:val="28"/>
        </w:rPr>
        <w:t>ÍNDICE</w:t>
      </w:r>
    </w:p>
    <w:p>
      <w:pPr>
        <w:spacing w:before="0" w:after="0"/>
      </w:pPr>
      <w:r>
        <w:fldChar w:fldCharType="begin"/>
        <w:instrText xml:space="preserve"> TOC \o "1-2" \h \z \u </w:instrText>
        <w:fldChar w:fldCharType="separate"/>
      </w:r>
      <w:r>
        <w:rPr>
          <w:rFonts w:ascii="Arial" w:hAnsi="Arial"/>
          <w:i/>
          <w:color w:val="999999"/>
          <w:sz w:val="20"/>
        </w:rPr>
        <w:t>[ Presiona Ctrl+A y luego F9 para actualizar el índice ]</w:t>
      </w:r>
      <w:r>
        <w:fldChar w:fldCharType="end"/>
      </w:r>
    </w:p>
    <w:p>
      <w:pPr>
        <w:spacing w:before="0" w:after="0"/>
      </w:pPr>
      <w:r>
        <w:br w:type="page"/>
      </w:r>
    </w:p>
    <w:p>
      <w:pPr>
        <w:pStyle w:val="Heading1"/>
        <w:shd w:val="clear" w:color="auto" w:fill="1F4E79"/>
        <w:spacing w:before="320" w:after="160"/>
        <w:ind w:left="227"/>
      </w:pPr>
      <w:r>
        <w:rPr>
          <w:rFonts w:ascii="Arial" w:hAnsi="Arial"/>
          <w:b/>
          <w:color w:val="FFFFFF"/>
          <w:sz w:val="26"/>
        </w:rPr>
        <w:t>MERCADOS</w:t>
      </w:r>
    </w:p>
    <w:p>
      <w:pPr>
        <w:pStyle w:val="Heading2"/>
        <w:spacing w:before="200" w:after="80"/>
      </w:pPr>
      <w:r>
        <w:rPr>
          <w:rFonts w:ascii="Arial" w:hAnsi="Arial"/>
          <w:b/>
          <w:color w:val="2E75B6"/>
          <w:sz w:val="22"/>
        </w:rPr>
        <w:t xml:space="preserve">1.  </w:t>
      </w:r>
      <w:r>
        <w:rPr>
          <w:rFonts w:ascii="Arial" w:hAnsi="Arial"/>
          <w:b/>
          <w:color w:val="1F4E79"/>
          <w:sz w:val="22"/>
        </w:rPr>
        <w:t>Dólar se dispara más de $ 10 en medio de fuertes pérdidas del cobre tras finalizada la visita de Trump a China</w:t>
      </w:r>
    </w:p>
    <w:p>
      <w:pPr>
        <w:spacing w:before="40" w:after="60"/>
        <w:ind w:left="283"/>
      </w:pPr>
      <w:r>
        <w:rPr>
          <w:rFonts w:ascii="Arial" w:hAnsi="Arial"/>
          <w:color w:val="404040"/>
          <w:sz w:val="21"/>
        </w:rPr>
        <w:t>El dólar abrió con un alza de $12,1 hasta $907 este viernes, impulsado por la decepción de los mercados con los resultados de la cumbre Trump-Xi en Beijing. El cobre Comex retrocedió 4,5% hasta US$6,32 la libra y el oro cayó 2,1%, mientras el petróleo Brent subía 2,2% a US$108 por barril ante la persistencia del conflicto en Medio Oriente. El rendimiento del Tesoro estadounidense a 10 años superó el umbral psicológico de 4,5% por primera vez en un año, avivando expectativas de que la Fed podría subir tasas en octubre o diciembre, lo que incrementa la presión sobre activos de riesgo a nivel global.</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La energía enciende el M&amp;A: Toesca y Marubeni inician venta de GasValpo y fondo de EEUU prepara salida de Gasmar</w:t>
      </w:r>
    </w:p>
    <w:p>
      <w:pPr>
        <w:spacing w:before="40" w:after="60"/>
        <w:ind w:left="283"/>
      </w:pPr>
      <w:r>
        <w:rPr>
          <w:rFonts w:ascii="Arial" w:hAnsi="Arial"/>
          <w:color w:val="404040"/>
          <w:sz w:val="21"/>
        </w:rPr>
        <w:t>El joint venture chileno-japonés entre Toesca y Marubeni inició formalmente el proceso de venta de GasValpo, el segundo mayor distribuidor de gas natural en Chile por longitud de red, encargando el proceso al equipo de Santander CIB bajo el nombre 'Project Tiger'. La distribuidora cuenta con 117 mil clientes, ventas anuales de US$115 millones y un Ebitda de US$26 millones, aunque este último cayó en 2025 por menor demanda industrial. En paralelo, el fondo estadounidense Arroyo Investors prepara su salida de Gasmar, terminal de GLP en Quintero y Mejillones adquirido en 2021 por US$422,5 millones, mandatando a BTG Pactual para liderar la operación aún no lanzada formalmente al mercado.</w:t>
      </w:r>
    </w:p>
    <w:p>
      <w:pPr>
        <w:spacing w:before="0" w:after="80"/>
        <w:jc w:val="left"/>
      </w:pPr>
    </w:p>
    <w:p>
      <w:pPr>
        <w:pStyle w:val="Heading1"/>
        <w:shd w:val="clear" w:color="auto" w:fill="1F4E79"/>
        <w:spacing w:before="320" w:after="160"/>
        <w:ind w:left="227"/>
      </w:pPr>
      <w:r>
        <w:rPr>
          <w:rFonts w:ascii="Arial" w:hAnsi="Arial"/>
          <w:b/>
          <w:color w:val="FFFFFF"/>
          <w:sz w:val="26"/>
        </w:rPr>
        <w:t>EMPRESAS</w:t>
      </w:r>
    </w:p>
    <w:p>
      <w:pPr>
        <w:pStyle w:val="Heading2"/>
        <w:spacing w:before="200" w:after="80"/>
      </w:pPr>
      <w:r>
        <w:rPr>
          <w:rFonts w:ascii="Arial" w:hAnsi="Arial"/>
          <w:b/>
          <w:color w:val="2E75B6"/>
          <w:sz w:val="22"/>
        </w:rPr>
        <w:t xml:space="preserve">1.  </w:t>
      </w:r>
      <w:r>
        <w:rPr>
          <w:rFonts w:ascii="Arial" w:hAnsi="Arial"/>
          <w:b/>
          <w:color w:val="1F4E79"/>
          <w:sz w:val="22"/>
        </w:rPr>
        <w:t>¿Cuáles son las 10 minas de cobre más grandes del mundo? Por primera vez, ningún yacimiento de Codelco figura en el listado</w:t>
      </w:r>
    </w:p>
    <w:p>
      <w:pPr>
        <w:spacing w:before="40" w:after="60"/>
        <w:ind w:left="283"/>
      </w:pPr>
      <w:r>
        <w:rPr>
          <w:rFonts w:ascii="Arial" w:hAnsi="Arial"/>
          <w:color w:val="404040"/>
          <w:sz w:val="21"/>
        </w:rPr>
        <w:t>Por primera vez en la historia, ninguna mina de Codelco aparece en el top 10 mundial de productores de cobre, según análisis de la consultora Plusmining. Escondida de BHP lidera el ranking con 1,3 millones de toneladas en 2025, su mejor desempeño desde 2007, mientras que Collahuasi ocupa el quinto lugar con 406 mil toneladas. El retroceso de Codelco refleja un estancamiento estructural: Chuquicamata bajó de 650 mil toneladas en 2005 a 265 mil en 2025, y El Teniente cayó 13% el año pasado por estallidos de roca, quedando ambas en los puestos 12 y 14 respectivamente. Chile mantiene el liderazgo global con el 23% de la producción mundial, pero enfrenta la presión de nuevos distritos africanos como Kamoa-Kakula en el Congo, con leyes de mineral casi cinco veces superiores.</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Estudio Fermandois suma tres abogados para fortalecer áreas de derecho público</w:t>
      </w:r>
    </w:p>
    <w:p>
      <w:pPr>
        <w:spacing w:before="40" w:after="60"/>
        <w:ind w:left="283"/>
      </w:pPr>
      <w:r>
        <w:rPr>
          <w:rFonts w:ascii="Arial" w:hAnsi="Arial"/>
          <w:color w:val="404040"/>
          <w:sz w:val="21"/>
        </w:rPr>
        <w:t>El Estudio Fermandois incorporó a Herman Rojas, María José Campeny y José Pedro Fermandois para reforzar sus áreas de Derecho Constitucional, Administrativo y Regulación Económica. Las contrataciones responden a la expansión del Estado regulador en Chile durante los últimos 25 años y a la creciente complejidad del entorno normativo. Los tres nuevos integrantes cuentan con posgrados en universidades como Cambridge, University College London y Georgetown, además de experiencia previa en organismos públicos como la Contraloría, el Ministerio de Economía y la Segpres.</w:t>
      </w:r>
    </w:p>
    <w:p>
      <w:pPr>
        <w:spacing w:before="0" w:after="80"/>
        <w:jc w:val="left"/>
      </w:pPr>
    </w:p>
    <w:p>
      <w:pPr>
        <w:pStyle w:val="Heading1"/>
        <w:shd w:val="clear" w:color="auto" w:fill="1F4E79"/>
        <w:spacing w:before="320" w:after="160"/>
        <w:ind w:left="227"/>
      </w:pPr>
      <w:r>
        <w:rPr>
          <w:rFonts w:ascii="Arial" w:hAnsi="Arial"/>
          <w:b/>
          <w:color w:val="FFFFFF"/>
          <w:sz w:val="26"/>
        </w:rPr>
        <w:t>ECONOMÍA</w:t>
      </w:r>
    </w:p>
    <w:p>
      <w:pPr>
        <w:pStyle w:val="Heading2"/>
        <w:spacing w:before="200" w:after="80"/>
      </w:pPr>
      <w:r>
        <w:rPr>
          <w:rFonts w:ascii="Arial" w:hAnsi="Arial"/>
          <w:b/>
          <w:color w:val="2E75B6"/>
          <w:sz w:val="22"/>
        </w:rPr>
        <w:t xml:space="preserve">1.  </w:t>
      </w:r>
      <w:r>
        <w:rPr>
          <w:rFonts w:ascii="Arial" w:hAnsi="Arial"/>
          <w:b/>
          <w:color w:val="1F4E79"/>
          <w:sz w:val="22"/>
        </w:rPr>
        <w:t>Ley de reconstrucción: oposición y oficialismo se preparan para reñida negociación en el Senado sin descartar espacio para acuerdos</w:t>
      </w:r>
    </w:p>
    <w:p>
      <w:pPr>
        <w:spacing w:before="40" w:after="60"/>
        <w:ind w:left="283"/>
      </w:pPr>
      <w:r>
        <w:rPr>
          <w:rFonts w:ascii="Arial" w:hAnsi="Arial"/>
          <w:color w:val="404040"/>
          <w:sz w:val="21"/>
        </w:rPr>
        <w:t>El proyecto de reconstrucción y reactivación económica del gobierno ingresaría al Senado la semana del 1 de junio, donde el oficialismo asegura contar con al menos 26 votos para aprobarlo, incluyendo a los senadores independientes Matías Walker y Miguel Ángel Calisto. La oposición, desde la DC hasta el PC, anticipa una negociación más sustantiva que en la Cámara, exigiendo al gobierno apertura real al diálogo y no utilizar su mayoría para 'pasar la aplanadora'. El principal punto de conflicto es la reforma tributaria: la oposición no cederá en esa materia, mientras el oficialismo defiende la invariabilidad tributaria como elemento central del proyecto.</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Pedro Lea-Plaza, director del Servicio Civil: “Por lo menos, los 130 cargos de ADP de primer nivel jerárquico debieran ser balas de plata”</w:t>
      </w:r>
    </w:p>
    <w:p>
      <w:pPr>
        <w:spacing w:before="40" w:after="60"/>
        <w:ind w:left="283"/>
      </w:pPr>
      <w:r>
        <w:rPr>
          <w:rFonts w:ascii="Arial" w:hAnsi="Arial"/>
          <w:color w:val="404040"/>
          <w:sz w:val="21"/>
        </w:rPr>
        <w:t>El directivo defendió el modelo de selección de personal calificado vía Alta Dirección Pública, afirmando que es un sistema “que privilegia la confianza con un filtro de mérito”. Dos meses cumplió el abogado Pedro Lea-Plaza como director del Servicio Civil, cargo que asumió luego de 30 años de carrera profesional principalmente en el sector privado. Un recorrido que, según expone, le permitió hacer “un match perfecto” entre su visión, el mandato del Presidente y la dedicación que ha visto en los profesionales del organismo en orden a “modernizar la gestión en el Estado”. Esa tarea la pone en el primer lugar, pues su objetivo como cabeza del Consejo de Alta Dirección Pública (ADP) es que lleguen a los cargos ADP los mejor preparados.</w:t>
      </w:r>
    </w:p>
    <w:p>
      <w:pPr>
        <w:pBdr>
          <w:bottom w:val="single" w:sz="4" w:space="1" w:color="BDD7EE"/>
        </w:pBdr>
        <w:spacing w:before="80" w:after="80"/>
      </w:pPr>
    </w:p>
    <w:p>
      <w:pPr>
        <w:pStyle w:val="Heading2"/>
        <w:spacing w:before="200" w:after="80"/>
      </w:pPr>
      <w:r>
        <w:rPr>
          <w:rFonts w:ascii="Arial" w:hAnsi="Arial"/>
          <w:b/>
          <w:color w:val="2E75B6"/>
          <w:sz w:val="22"/>
        </w:rPr>
        <w:t xml:space="preserve">3.  </w:t>
      </w:r>
      <w:r>
        <w:rPr>
          <w:rFonts w:ascii="Arial" w:hAnsi="Arial"/>
          <w:b/>
          <w:color w:val="1F4E79"/>
          <w:sz w:val="22"/>
        </w:rPr>
        <w:t>Positiva acogida a ajustes a crédito tributario pro empleo, aunque persisten dudas sobre su alcance en las PYME</w:t>
      </w:r>
    </w:p>
    <w:p>
      <w:pPr>
        <w:spacing w:before="40" w:after="60"/>
        <w:ind w:left="283"/>
      </w:pPr>
      <w:r>
        <w:rPr>
          <w:rFonts w:ascii="Arial" w:hAnsi="Arial"/>
          <w:color w:val="404040"/>
          <w:sz w:val="21"/>
        </w:rPr>
        <w:t>La Comisión de Hacienda de la Cámara aprobó el crédito tributario al empleo con una fórmula diferenciada: tasa base de 14%, incrementada a 15% para mujeres y con 1,5 puntos adicionales para trabajadores menores de 25 años, grupos con tasas de desempleo de 10% y cerca de 20% respectivamente. El beneficio, con un costo fiscal estimado en US$1.400 millones anuales, es imputable al impuesto de Primera Categoría, IVA y PPM de las empresas, y fue bien recibido por gremios como la Asech y la Achiga. Sin embargo, persisten dudas en Conapyme sobre si el mecanismo beneficiará efectivamente a las pymes o si las grandes empresas capturarán la mayor parte del crédito.</w:t>
      </w:r>
    </w:p>
    <w:p>
      <w:pPr>
        <w:spacing w:before="0" w:after="80"/>
        <w:jc w:val="left"/>
      </w:pPr>
    </w:p>
    <w:p>
      <w:pPr>
        <w:pStyle w:val="Heading1"/>
        <w:shd w:val="clear" w:color="auto" w:fill="1F4E79"/>
        <w:spacing w:before="320" w:after="160"/>
        <w:ind w:left="227"/>
      </w:pPr>
      <w:r>
        <w:rPr>
          <w:rFonts w:ascii="Arial" w:hAnsi="Arial"/>
          <w:b/>
          <w:color w:val="FFFFFF"/>
          <w:sz w:val="26"/>
        </w:rPr>
        <w:t>INTERNACIONAL</w:t>
      </w:r>
    </w:p>
    <w:p>
      <w:pPr>
        <w:pStyle w:val="Heading2"/>
        <w:spacing w:before="200" w:after="80"/>
      </w:pPr>
      <w:r>
        <w:rPr>
          <w:rFonts w:ascii="Arial" w:hAnsi="Arial"/>
          <w:b/>
          <w:color w:val="2E75B6"/>
          <w:sz w:val="22"/>
        </w:rPr>
        <w:t xml:space="preserve">1.  </w:t>
      </w:r>
      <w:r>
        <w:rPr>
          <w:rFonts w:ascii="Arial" w:hAnsi="Arial"/>
          <w:b/>
          <w:color w:val="1F4E79"/>
          <w:sz w:val="22"/>
        </w:rPr>
        <w:t>Límites para la IA y los chips de Nvidia: lo que hablaron Donald Trump y Xi Jinping al respecto</w:t>
      </w:r>
    </w:p>
    <w:p>
      <w:pPr>
        <w:spacing w:before="40" w:after="60"/>
        <w:ind w:left="283"/>
      </w:pPr>
      <w:r>
        <w:rPr>
          <w:rFonts w:ascii="Arial" w:hAnsi="Arial"/>
          <w:color w:val="404040"/>
          <w:sz w:val="21"/>
        </w:rPr>
        <w:t>Trump reveló que durante la cumbre en Beijing discutió con Xi Jinping la posibilidad de establecer límites conjuntos para la inteligencia artificial, aunque sin precisar el alcance de los acuerdos. Los chips H200 de Nvidia también estuvieron sobre la mesa, pero China no ha aprobado su compra porque prefiere desarrollar semiconductores propios, según declaró el mandatario. El tema se enmarca en años de restricciones estadounidenses a la exportación de tecnología avanzada a China, que persisten como fuente de fricción bilateral pese a que en diciembre Trump autorizó la exportación de los H200 a clientes chinos.</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China y Estados Unidos "sienten cosas muy parecidas respecto a Irán", afirma Donald Trump</w:t>
      </w:r>
    </w:p>
    <w:p>
      <w:pPr>
        <w:spacing w:before="40" w:after="60"/>
        <w:ind w:left="283"/>
      </w:pPr>
      <w:r>
        <w:rPr>
          <w:rFonts w:ascii="Arial" w:hAnsi="Arial"/>
          <w:color w:val="404040"/>
          <w:sz w:val="21"/>
        </w:rPr>
        <w:t>La cumbre de dos días entre Trump y Xi en Beijing concluyó sin acuerdos concretos de alto nivel, aunque con un tono positivo entre ambos líderes. Trump aseguró que ambos comparten posiciones similares sobre Irán: no quieren que tenga armas nucleares ni que bloquee el estrecho de Ormuz, y señaló que Xi se ofreció a ayudar para que el conflicto llegue a una solución. Xi calificó la visita como histórica y propuso un nuevo marco de relación bilateral basado en la 'estabilidad estratégica constructiva', con cooperación como pilar y competencia dentro de límites adecuados.</w:t>
      </w:r>
    </w:p>
    <w:p>
      <w:pPr>
        <w:pBdr>
          <w:bottom w:val="single" w:sz="4" w:space="1" w:color="BDD7EE"/>
        </w:pBdr>
        <w:spacing w:before="80" w:after="80"/>
      </w:pPr>
    </w:p>
    <w:p>
      <w:pPr>
        <w:pStyle w:val="Heading2"/>
        <w:spacing w:before="200" w:after="80"/>
      </w:pPr>
      <w:r>
        <w:rPr>
          <w:rFonts w:ascii="Arial" w:hAnsi="Arial"/>
          <w:b/>
          <w:color w:val="2E75B6"/>
          <w:sz w:val="22"/>
        </w:rPr>
        <w:t xml:space="preserve">3.  </w:t>
      </w:r>
      <w:r>
        <w:rPr>
          <w:rFonts w:ascii="Arial" w:hAnsi="Arial"/>
          <w:b/>
          <w:color w:val="1F4E79"/>
          <w:sz w:val="22"/>
        </w:rPr>
        <w:t>Trump y su comitiva empresarial celebran cumbre con Xi Jinping en Beijing</w:t>
      </w:r>
    </w:p>
    <w:p>
      <w:pPr>
        <w:spacing w:before="40" w:after="60"/>
        <w:ind w:left="283"/>
      </w:pPr>
      <w:r>
        <w:rPr>
          <w:rFonts w:ascii="Arial" w:hAnsi="Arial"/>
          <w:color w:val="404040"/>
          <w:sz w:val="21"/>
        </w:rPr>
        <w:t>La cumbre Trump-Xi en el Gran Palacio del Pueblo tuvo un tono positivo, con declaraciones de cooperación mutua y la participación de una delegación de 17 CEOs estadounidenses, incluyendo a Jensen Huang de Nvidia, Tim Cook de Apple y Elon Musk de Tesla. En términos concretos, China se comprometió a comprar 200 aviones Boeing, cifra inferior a los 300 que esperaba el mercado, lo que hizo caer la acción de la compañía 4,73%. También se anunció la creación de una 'Junta de Inversiones' para agilizar intercambios bilaterales en sectores no críticos, mientras el tema de los controles a exportaciones de semiconductores quedó en un segundo plano según el representante comercial Jamieson Greer.</w:t>
      </w:r>
    </w:p>
    <w:p>
      <w:pPr>
        <w:pBdr>
          <w:bottom w:val="single" w:sz="4" w:space="1" w:color="BDD7EE"/>
        </w:pBdr>
        <w:spacing w:before="80" w:after="80"/>
      </w:pPr>
    </w:p>
    <w:p>
      <w:pPr>
        <w:pStyle w:val="Heading2"/>
        <w:spacing w:before="200" w:after="80"/>
      </w:pPr>
      <w:r>
        <w:rPr>
          <w:rFonts w:ascii="Arial" w:hAnsi="Arial"/>
          <w:b/>
          <w:color w:val="2E75B6"/>
          <w:sz w:val="22"/>
        </w:rPr>
        <w:t xml:space="preserve">4.  </w:t>
      </w:r>
      <w:r>
        <w:rPr>
          <w:rFonts w:ascii="Arial" w:hAnsi="Arial"/>
          <w:b/>
          <w:color w:val="1F4E79"/>
          <w:sz w:val="22"/>
        </w:rPr>
        <w:t>Stephany Griffith-Jones, exvicepresidenta del Banco Central: “Powell va a tener menos influencia que cuando era presidente, pero va a contribuir a una posición más prudente”</w:t>
      </w:r>
    </w:p>
    <w:p>
      <w:pPr>
        <w:spacing w:before="40" w:after="60"/>
        <w:ind w:left="283"/>
      </w:pPr>
      <w:r>
        <w:rPr>
          <w:rFonts w:ascii="Arial" w:hAnsi="Arial"/>
          <w:color w:val="404040"/>
          <w:sz w:val="21"/>
        </w:rPr>
        <w:t>La economista destacó el manejo de la inflación durante la pandemia del antecesor de Kevin Warsh en el liderazgo de la Fed, así como también el que haya mantenido la independencia del ente rector. “Un desempeño bien positivo en circunstancias complejas”, es la evaluación que hace la exvicepresidenta del Banco Central, Stephany Griffith-Jones, de la gestión de Jerome Powell como presidente de la Reserva Federal de Estados Unidos, que llega a su fin este viernes. La economista destacó el manejo que tuvo la autoridad monetaria de la inflación derivada de la pandemia, la que se vio incrementada tras la invasión a Ucrania. “Se logró este doble objetivo que son las metas de la Fed: mantener muy bajo el desempleo a la vez que se bajaba la inflación y la economía fue bastante dinámica”, destacó.</w:t>
      </w:r>
    </w:p>
    <w:p>
      <w:pPr>
        <w:spacing w:before="0" w:after="80"/>
        <w:jc w:val="left"/>
      </w:pPr>
    </w:p>
    <w:p>
      <w:pPr>
        <w:pStyle w:val="Heading1"/>
        <w:shd w:val="clear" w:color="auto" w:fill="1F4E79"/>
        <w:spacing w:before="320" w:after="160"/>
        <w:ind w:left="227"/>
      </w:pPr>
      <w:r>
        <w:rPr>
          <w:rFonts w:ascii="Arial" w:hAnsi="Arial"/>
          <w:b/>
          <w:color w:val="FFFFFF"/>
          <w:sz w:val="26"/>
        </w:rPr>
        <w:t>INNOVACIÓN</w:t>
      </w:r>
    </w:p>
    <w:p>
      <w:pPr>
        <w:pStyle w:val="Heading2"/>
        <w:spacing w:before="200" w:after="80"/>
      </w:pPr>
      <w:r>
        <w:rPr>
          <w:rFonts w:ascii="Arial" w:hAnsi="Arial"/>
          <w:b/>
          <w:color w:val="2E75B6"/>
          <w:sz w:val="22"/>
        </w:rPr>
        <w:t xml:space="preserve">1.  </w:t>
      </w:r>
      <w:r>
        <w:rPr>
          <w:rFonts w:ascii="Arial" w:hAnsi="Arial"/>
          <w:b/>
          <w:color w:val="1F4E79"/>
          <w:sz w:val="22"/>
        </w:rPr>
        <w:t>Kast designa a nuevos directores de Fundación Chile: entran Raúl Figueroa y Julio Pertuzé</w:t>
      </w:r>
    </w:p>
    <w:p>
      <w:pPr>
        <w:spacing w:before="40" w:after="60"/>
        <w:ind w:left="283"/>
      </w:pPr>
      <w:r>
        <w:rPr>
          <w:rFonts w:ascii="Arial" w:hAnsi="Arial"/>
          <w:color w:val="404040"/>
          <w:sz w:val="21"/>
        </w:rPr>
        <w:t>El presidente Kast designó mediante decreto a Julio Pertuzé, Carmen Luz Assadi, Raúl Figueroa y Bracey Wilson como representantes del gobierno en el directorio de Fundación Chile, reemplazando a Pablo Zamora y otros tres directores. Pertuzé, exsubsecretario de Economía del gobierno de Piñera con doctorado en el MIT y fundador de la startup de electromovilidad Chass, aparece como el favorito para presidir el directorio. Los cambios se producen cuando la Fundación, entidad público-privada creada junto a BHP, celebra sus primeros 50 años.</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Ted Way, vicepresidente y director de Ingeniería de Productos de IA Empresarial en SAP: “Las empresas que no se vuelvan autónomas serán reemplazadas por aquellas que puedan hacer las cosas más rápido y mejor”</w:t>
      </w:r>
    </w:p>
    <w:p>
      <w:pPr>
        <w:spacing w:before="40" w:after="60"/>
        <w:ind w:left="283"/>
      </w:pPr>
      <w:r>
        <w:rPr>
          <w:rFonts w:ascii="Arial" w:hAnsi="Arial"/>
          <w:color w:val="404040"/>
          <w:sz w:val="21"/>
        </w:rPr>
        <w:t>Dijo que esta etapa de la IA dependerá de sistemas capaces de entender el contexto del negocio, operar sobre datos y procesos críticos, y funcionar bajo reglas de gobernanza y trazabilidad. Uno de los temas principales del SAP Sapphire 2026, la conferencia anual de la multinacional alemana de software de gestión empresarial (ERP, en inglés), fue el concepto de las empresas autónomas, es decir, aquellas cuyas operaciones utilizan agentes autónomos de inteligencia artificial (IA) capaces de tomar decisiones y ejecutar procesos completos de negocio. Para abordar este tema, DF conversó con el vicepresidente y director de ingeniería de productos de IA empresarial en SAP, Ted Way, quien profundizó en cómo la compañía está impulsando la transición hacia modelos autónomos dentro de las organizaciones. En esa línea, advirtió que aquellas empresas que “no se vuelvan autónomas serán reemplazadas” por las que sí lo hagan.</w:t>
      </w:r>
    </w:p>
    <w:p>
      <w:pPr>
        <w:spacing w:before="0" w:after="80"/>
        <w:jc w:val="left"/>
      </w:pPr>
    </w:p>
    <w:p>
      <w:pPr>
        <w:pStyle w:val="Heading1"/>
        <w:shd w:val="clear" w:color="auto" w:fill="1F4E79"/>
        <w:spacing w:before="320" w:after="160"/>
        <w:ind w:left="227"/>
      </w:pPr>
      <w:r>
        <w:rPr>
          <w:rFonts w:ascii="Arial" w:hAnsi="Arial"/>
          <w:b/>
          <w:color w:val="FFFFFF"/>
          <w:sz w:val="26"/>
        </w:rPr>
        <w:t>OPINIÓN</w:t>
      </w:r>
    </w:p>
    <w:p>
      <w:pPr>
        <w:pStyle w:val="Heading2"/>
        <w:spacing w:before="200" w:after="80"/>
      </w:pPr>
      <w:r>
        <w:rPr>
          <w:rFonts w:ascii="Arial" w:hAnsi="Arial"/>
          <w:b/>
          <w:color w:val="2E75B6"/>
          <w:sz w:val="22"/>
        </w:rPr>
        <w:t xml:space="preserve">1.  </w:t>
      </w:r>
      <w:r>
        <w:rPr>
          <w:rFonts w:ascii="Arial" w:hAnsi="Arial"/>
          <w:b/>
          <w:color w:val="1F4E79"/>
          <w:sz w:val="22"/>
        </w:rPr>
        <w:t>Editorial |15/05/2026</w:t>
      </w:r>
    </w:p>
    <w:p>
      <w:pPr>
        <w:spacing w:before="40" w:after="60"/>
        <w:ind w:left="283"/>
      </w:pPr>
      <w:r>
        <w:rPr>
          <w:rFonts w:ascii="Arial" w:hAnsi="Arial"/>
          <w:color w:val="404040"/>
          <w:sz w:val="21"/>
        </w:rPr>
        <w:t>Contenido no disponible (artículo detrás de paywall).</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Positivo diálogo</w:t>
      </w:r>
    </w:p>
    <w:p>
      <w:pPr>
        <w:spacing w:before="40" w:after="60"/>
        <w:ind w:left="283"/>
      </w:pPr>
      <w:r>
        <w:rPr>
          <w:rFonts w:ascii="Arial" w:hAnsi="Arial"/>
          <w:color w:val="404040"/>
          <w:sz w:val="21"/>
        </w:rPr>
        <w:t>La Comisión de Hacienda de la Cámara aprobó el crédito tributario al empleo después de que el gobierno accediera a reemplazar la tasa uniforme de 15% por un esquema diferenciado que prioriza a mujeres (15%) y jóvenes menores de 25 años (+1,5 puntos), grupos con tasas de desempleo de 10% y cerca de 20% respectivamente. El episodio es valorado como una muestra de que el debate técnico y la disposición a introducir ajustes permiten mejorar la consistencia de instrumentos de política económica cuestionados inicialmente. No obstante, persisten interrogantes sobre el alcance del beneficio en otros grupos rezagados como los mayores de 50 años, así como sobre su efectividad real para generar nuevas contrataciones dado su costo fiscal de US$1.400 millones anuales.</w:t>
      </w:r>
    </w:p>
    <w:p>
      <w:pPr>
        <w:pBdr>
          <w:bottom w:val="single" w:sz="4" w:space="1" w:color="BDD7EE"/>
        </w:pBdr>
        <w:spacing w:before="80" w:after="80"/>
      </w:pPr>
    </w:p>
    <w:p>
      <w:pPr>
        <w:pStyle w:val="Heading2"/>
        <w:spacing w:before="200" w:after="80"/>
      </w:pPr>
      <w:r>
        <w:rPr>
          <w:rFonts w:ascii="Arial" w:hAnsi="Arial"/>
          <w:b/>
          <w:color w:val="2E75B6"/>
          <w:sz w:val="22"/>
        </w:rPr>
        <w:t xml:space="preserve">3.  </w:t>
      </w:r>
      <w:r>
        <w:rPr>
          <w:rFonts w:ascii="Arial" w:hAnsi="Arial"/>
          <w:b/>
          <w:color w:val="1F4E79"/>
          <w:sz w:val="22"/>
        </w:rPr>
        <w:t>Consejo de Protección de Datos en problemas</w:t>
      </w:r>
    </w:p>
    <w:p>
      <w:pPr>
        <w:spacing w:before="40" w:after="60"/>
        <w:ind w:left="283"/>
      </w:pPr>
      <w:r>
        <w:rPr>
          <w:rFonts w:ascii="Arial" w:hAnsi="Arial"/>
          <w:color w:val="404040"/>
          <w:sz w:val="21"/>
        </w:rPr>
        <w:t>El Senado no logró acuerdo para designar a los integrantes del Consejo Directivo de la nueva Agencia de Protección de Datos Personales, poniendo en riesgo el funcionamiento de una institución de atribuciones inéditas en Chile. A diferencia de reguladores sectoriales, la agencia tendrá potestad para sancionar con multas de hasta UTM 20.000 a cualquier persona o entidad que trate datos personales, desde startups hasta ministerios. El columnista advierte que la calidad técnica y trayectoria de quienes integren el directorio será determinante para fijar estándares que equilibren innovación, derechos individuales y desarrollo tecnológico.</w:t>
      </w:r>
    </w:p>
    <w:p>
      <w:pPr>
        <w:spacing w:before="0" w:after="80"/>
        <w:jc w:val="left"/>
      </w:pPr>
    </w:p>
    <w:sectPr w:rsidR="00FC693F" w:rsidRPr="0006063C" w:rsidSect="00034616">
      <w:headerReference w:type="default" r:id="rId9"/>
      <w:footerReference w:type="default" r:id="rId10"/>
      <w:pgSz w:w="12240" w:h="15840"/>
      <w:pgMar w:top="1247"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999999"/>
        <w:sz w:val="18"/>
      </w:rPr>
      <w:t xml:space="preserve">Página </w:t>
      <w:fldChar w:fldCharType="begin"/>
    </w:r>
    <w:r>
      <w:instrText>PAGE</w:instrText>
    </w:r>
    <w:r>
      <w:fldChar w:fldCharType="end"/>
    </w:r>
    <w:r>
      <w:rPr>
        <w:rFonts w:ascii="Arial" w:hAnsi="Arial"/>
        <w:color w:val="999999"/>
        <w:sz w:val="18"/>
      </w:rPr>
      <w:t xml:space="preserve"> de </w:t>
      <w:fldChar w:fldCharType="begin"/>
    </w:r>
    <w:r>
      <w:instrText>NUMPAGES</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b/>
        <w:color w:val="1F4E79"/>
        <w:sz w:val="18"/>
      </w:rPr>
      <w:t>Resumen Diario Financiero  ·  15 de mayo de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