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17 De Junio De 2026</w:t>
      </w:r>
    </w:p>
    <w:p>
      <w:pPr>
        <w:jc w:val="center"/>
      </w:pPr>
      <w:r>
        <w:rPr>
          <w:rFonts w:ascii="Arial" w:hAnsi="Arial"/>
          <w:color w:val="999999"/>
          <w:sz w:val="20"/>
        </w:rPr>
        <w:t>6 secciones  ·  23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cae a niveles de $ 880 tras mensajes del Banco Central y previo al anuncio de política de la Reserva Federal</w:t>
      </w:r>
    </w:p>
    <w:p>
      <w:pPr>
        <w:spacing w:before="40" w:after="60"/>
        <w:ind w:left="283"/>
      </w:pPr>
      <w:r>
        <w:rPr>
          <w:rFonts w:ascii="Arial" w:hAnsi="Arial"/>
          <w:color w:val="404040"/>
          <w:sz w:val="21"/>
        </w:rPr>
        <w:t>El dólar caía $3,9 hasta los $882,2 este miércoles, acumulando seis jornadas consecutivas a la baja, su racha más extensa desde mayo de 2024, en un contexto marcado por el avance hacia un acuerdo entre EEUU e Irán y la espera del anuncio de tasas de la Fed. El Banco Central de Chile mantuvo la TPM en 4,5% sin cambios, señalando que el balance de riesgos para la inflación se ha equilibrado, mientras el peso chileno se consolidó como la divisa emergente más fortalecida de la semana. Los inversionistas extranjeros compraron US$ 1.000 millones en pesos chilenos vía derivados, reduciendo su posición neta contra la moneda local a unos US$ 11.800 millones. Trump advirtió que EEUU volvería a atacar Irán si no se cumple el memorando de 14 puntos, cuya firma oficial está prevista para el viernes en Suiza, y la atención del mercado se centra en el primer comunicado de la Fed bajo la presidencia de Kevin Warsh.</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estable tras comunicados del Banco Central y en medio de la espera antes del anuncio de tasas en EEUU</w:t>
      </w:r>
    </w:p>
    <w:p>
      <w:pPr>
        <w:spacing w:before="40" w:after="60"/>
        <w:ind w:left="283"/>
      </w:pPr>
      <w:r>
        <w:rPr>
          <w:rFonts w:ascii="Arial" w:hAnsi="Arial"/>
          <w:color w:val="404040"/>
          <w:sz w:val="21"/>
        </w:rPr>
        <w:t>El IPSA chileno abrió estable en 10.906,80 puntos este miércoles, tras el comunicado del Banco Central que mantuvo la TPM sin cambios, en una sesión marcada por la espera del anuncio de tasas de la Fed durante la tarde. Las bolsas globales mostraron resultados mixtos: el Nasdaq y otros índices de EEUU subían levemente, Europa se dividía entre alzas y caídas, y en Asia el CSI 300 chino y el Nikkei japonés avanzaban mientras el Hang Seng retrocedía. El petróleo Brent subía 1,4% a US$ 80,1 por barril tras declaraciones de Trump desde el G7 advirtiendo que EEUU bombardearía Irán si no se cumple el acuerdo de paz, cuya firma está agendada para el viernes en Suiza. El mercado también prestaba atención al primer manejo comunicacional de Kevin Warsh como nuevo presidente de la Fed.</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Tasas para calcular monto de las pensiones de rentas vitalicias caen a su menor nivel en cinco años</w:t>
      </w:r>
    </w:p>
    <w:p>
      <w:pPr>
        <w:spacing w:before="40" w:after="60"/>
        <w:ind w:left="283"/>
      </w:pPr>
      <w:r>
        <w:rPr>
          <w:rFonts w:ascii="Arial" w:hAnsi="Arial"/>
          <w:color w:val="404040"/>
          <w:sz w:val="21"/>
        </w:rPr>
        <w:t>Las tasas de interés usadas para calcular las pensiones de rentas vitalicias cayeron a un promedio de 2,83% entre enero y mayo de 2026, frente a 3,3% en igual período de 2025, marcando el nivel más bajo en cinco años según la CMF. Expertos atribuyen la caída a la mayor competencia entre aseguradoras por la fuerte expansión de la demanda —impulsada por la flexibilización del requisito mínimo de pensión a UF 2— junto con mayor liquidez y expectativas de menor crecimiento económico (1,8% proyectado para 2026). Como consecuencia, la pensión promedio entregada cayó a UF 8,35 (~$340.000) entre enero y mayo, desde UF 9,85 (~$401.000) un año antes, el menor monto desde 1995. Pese a ello, la industria proyecta otro año récord de ventas, tras haber colocado 59.610 rentas vitalicias en 2025 y más de 31.893 entre enero y mayo de 2026.</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Los aportantes, el cap rate y nuevo directorio: los detalles del fondo de GSI que compró Baker</w:t>
      </w:r>
    </w:p>
    <w:p>
      <w:pPr>
        <w:spacing w:before="40" w:after="60"/>
        <w:ind w:left="283"/>
      </w:pPr>
      <w:r>
        <w:rPr>
          <w:rFonts w:ascii="Arial" w:hAnsi="Arial"/>
          <w:color w:val="404040"/>
          <w:sz w:val="21"/>
        </w:rPr>
        <w:t>La gestora de capital privado Southern Cross vendió Rentas y Desarrollo Baker SpA —el principal arrendador de estaciones de servicio para Aramco en Chile— a un fondo de GSI Capital por unos US$ 150 millones (UF 3,6 millones), en una de las mayores transacciones inmobiliarias de la década. El vehículo "Moneda GSI Rentas Comerciales IV" contó con aportes de AFP Uno, las aseguradoras Penta Vida y 4Life, además de family offices, y la operación arrojó un cap rate de 5,6% sobre el NOI proyectado a 12 meses (4,95% sobre el NOI del último año). El nuevo directorio quedó liderado por el exejecutivo de Esmax/Aramco Chile, Juan Pablo Novoa, junto a los socios de GSI. Baker posee 95 propiedades en Chile, incluyendo 89 contratos con Aramco y 47 con otros arrendatarios, con ingresos 2025 que superaron los $ 15.852 millones.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Histórico Kiosco Roca de Punta Arenas busca dejar atrás la crisis, invierte $ 300 millones en una fábrica propia y se enfoca en el delivery</w:t>
      </w:r>
    </w:p>
    <w:p>
      <w:pPr>
        <w:spacing w:before="40" w:after="60"/>
        <w:ind w:left="283"/>
      </w:pPr>
      <w:r>
        <w:rPr>
          <w:rFonts w:ascii="Arial" w:hAnsi="Arial"/>
          <w:color w:val="404040"/>
          <w:sz w:val="21"/>
        </w:rPr>
        <w:t>Kiosco Roca, emblemático local gastronómico de Punta Arenas fundado en 1932, superó un período crítico que la llevó al borde de la quiebra tras el fracaso de su expansión por franquicias en Santiago y Valparaíso y los cierres de la pandemia. Hoy las ventas por delivery (PedidosYa, Uber Eats) representan 50% de su facturación, mientras las ventas presenciales caen entre 20% y 30% respecto de 2025 por la migración de trámites bancarios a canales digitales. La empresa invirtió más de $300 millones en una fábrica propia, "Emporio Kiosco Roca", para controlar la producción de su pasta de chorizo y diversificar hacia alimentos envasados al vacío. A futuro, descarta nuevas franquicias fuera de la región por costos logísticos y proyecta abrir un local propio en Puerto Natales en cinco años, aprovechando el turismo hacia Torres del Paine.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Gigante BHP inicia proceso para vender todas sus líneas de transmisión eléctrica en Chile para enfocarse en cobre</w:t>
      </w:r>
    </w:p>
    <w:p>
      <w:pPr>
        <w:spacing w:before="40" w:after="60"/>
        <w:ind w:left="283"/>
      </w:pPr>
      <w:r>
        <w:rPr>
          <w:rFonts w:ascii="Arial" w:hAnsi="Arial"/>
          <w:color w:val="404040"/>
          <w:sz w:val="21"/>
        </w:rPr>
        <w:t>BHP inició el proceso para vender la totalidad de sus líneas de transmisión eléctrica en Chile —cerca de 1.000 km que abastecen a Escondida, Spence y Cerro Colorado— como parte de su estrategia de enfocarse en el negocio del cobre. Fuentes de mercado estiman la transacción en torno a US$ 1.500 millones, con posibilidad de cerrarse este año, aunque aún falta definir la estructura de venta y completar el due diligence. La operación replica una jugada similar realizada en Australia a fines de 2025, cuando BHP vendió 49% de sus activos de transmisión de hierro a Global Infrastructure Partners (BlackRock) por US$ 2.000 millones. El movimiento se da en paralelo al espaldarazo recibido por el proyecto cuprífero binacional Vicuña (BHP y Lundin), incorporado al régimen RIGI argentino con una inversión inicial de US$ 9.700 millones, proyectada hasta US$ 18.000 millones.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Diego Sazo, jefe de Relaciones Internacionales de Athenalab:“Si pudieramos identificar a un gran perdedor, ese es Israel”</w:t>
      </w:r>
    </w:p>
    <w:p>
      <w:pPr>
        <w:spacing w:before="40" w:after="60"/>
        <w:ind w:left="283"/>
      </w:pPr>
      <w:r>
        <w:rPr>
          <w:rFonts w:ascii="Arial" w:hAnsi="Arial"/>
          <w:color w:val="404040"/>
          <w:sz w:val="21"/>
        </w:rPr>
        <w:t>El jefe de Relaciones Internacionales de Athenalab, Diego Sazo, sostiene que Israel es el gran perdedor del conflicto en Medio Oriente, pues ni el cambio de régimen en Irán ni la eliminación de su programa nuclear se cumplieron, mientras se distanció de EEUU y perdió apoyo interno —una encuesta Gallup de febrero mostró por primera vez en 24 años más respaldo a Palestina que a Israel. Identifica a Pakistán como ganador por su rol mediador y a China como ganador silencioso, con oportunidad de liderar la reconstrucción de Irán. Advierte que el acuerdo resultante es comparable al pacto nuclear de 2015, y que aún resta una segunda fase de negociaciones de 60 días sobre el tema nuclear que mantiene la incertidumbre. Considera que el cese de hostilidades es positivo para los mercados energéticos, aunque la normalización completa no está garantizada.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Concesionaria del aeropuerto de Puerto Montt reabre conflicto con el MOP y reclama por alza de costos de construcción</w:t>
      </w:r>
    </w:p>
    <w:p>
      <w:pPr>
        <w:spacing w:before="40" w:after="60"/>
        <w:ind w:left="283"/>
      </w:pPr>
      <w:r>
        <w:rPr>
          <w:rFonts w:ascii="Arial" w:hAnsi="Arial"/>
          <w:color w:val="404040"/>
          <w:sz w:val="21"/>
        </w:rPr>
        <w:t>La concesionaria del Aeropuerto El Tepual de Puerto Montt, controlada por Sacyr y Agunsa, recurrió por tercera vez al Panel Técnico de Concesiones para reclamar contra el MOP por sobrecostos de construcción atribuidos a la pandemia. La empresa estimó el perjuicio en UF 98.715 (unos US$ 4,5 millones), equivalente a cerca de 10% de la inversión reconocida en el contrato, agravado por el plazo de concesión de solo seis años que limita el tiempo para recuperar pérdidas. La concesionaria solicitó al Panel que recomiende al MOP iniciar conversaciones de buena fe para revisar o flexibilizar el contrato, tras la negativa del ministerio a modificar el régimen contractual pese al carácter extraordinario de las alzas de costos.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 paradoja del GNL: hay gas en abundancia, pero gremio acusa que regulación bloquea su uso y aumenta costos eléctricos</w:t>
      </w:r>
    </w:p>
    <w:p>
      <w:pPr>
        <w:spacing w:before="40" w:after="60"/>
        <w:ind w:left="283"/>
      </w:pPr>
      <w:r>
        <w:rPr>
          <w:rFonts w:ascii="Arial" w:hAnsi="Arial"/>
          <w:color w:val="404040"/>
          <w:sz w:val="21"/>
        </w:rPr>
        <w:t>Un estudio de la consultora energiE encargado por la Asociación de Empresas de Gas Natural (AGN) concluye que la escasez de GNL disponible para generación eléctrica en Chile no se debe a falta física del recurso, sino a un diseño regulatorio —centrado en la Norma Técnica de GNL— que dificulta su contratación oportuna y obliga a recurrir al diésel, más caro. El reporte cita que en 2021 el sistema gastó US$ 266 millones en operación con diésel pese a existir capacidad de GNL, y un caso en junio de 2025 en que una falla obligó a despachar 1.340 MW de respaldo diésel con un sobrecosto de US$ 9,3 millones. El estudio propone modificar decretos supremos para flexibilizar el uso del gas spot y crear un Estudio Anual de Confiabilidad a 10 años. El presidente de AGN, Carlos Cortés, sostiene que existe abundante gas disponible pero restricciones normativas impiden usarlo en los momentos críticos.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¿Qué cambios trajo el IPoM de junio? Siete claves de la nueva foto del Banco Central</w:t>
      </w:r>
    </w:p>
    <w:p>
      <w:pPr>
        <w:spacing w:before="40" w:after="60"/>
        <w:ind w:left="283"/>
      </w:pPr>
      <w:r>
        <w:rPr>
          <w:rFonts w:ascii="Arial" w:hAnsi="Arial"/>
          <w:color w:val="404040"/>
          <w:sz w:val="21"/>
        </w:rPr>
        <w:t>El Banco Central publicó el Informe de Política Monetaria (IPoM) de junio, que ajustó las proyecciones de crecimiento, inversión y precios de commodities tanto para 2026 como para los años siguientes. El artículo presenta siete cifras clave que resumen los principales cambios de esta nueva versión del informe respecto del de marzo, abarcando los componentes centrales del nuevo escenario macroeconómico proyectado por el ente emisor.</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Banco Central calcula que el traspaso del alza del petróleo al IPC ha estado en torno a lo anticipado</w:t>
      </w:r>
    </w:p>
    <w:p>
      <w:pPr>
        <w:spacing w:before="40" w:after="60"/>
        <w:ind w:left="283"/>
      </w:pPr>
      <w:r>
        <w:rPr>
          <w:rFonts w:ascii="Arial" w:hAnsi="Arial"/>
          <w:color w:val="404040"/>
          <w:sz w:val="21"/>
        </w:rPr>
        <w:t>El IPoM de junio del Banco Central analizó en un recuadro especial el traspaso del shock petrolero a la inflación, que subió de 2,4% en febrero a 3,9% en mayo, impulsada principalmente por el efecto directo en los precios de combustibles. Según estimaciones citadas, un alza de 10% en el precio internacional del petróleo eleva los precios locales de gasolina en torno a 5% en un año (0,2 pp del IPC), mientras el efecto indirecto sobre otros bienes y servicios se ubica entre 0,1 y 0,3 pp, dentro de lo previsto. El Central destacó que el traspaso ha sido "acorde a lo anticipado" en marzo, con los precios internacionales del petróleo subiendo cerca de 60% desde el inicio del shock pero los precios locales de combustibles solo 30%, sugiriendo que ya se observó la mayor parte del traspaso directo. Las empresas más expuestas a insumos energéticos registraron mayores alzas de precios, aunque parte del shock fue absorbido vía menores márgenes empresariales.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piso ahora es 1%: Banco Central aplica clara baja a proyección de PIB para el año, pero entra el 3% en sus cálculos para el mediano plazo</w:t>
      </w:r>
    </w:p>
    <w:p>
      <w:pPr>
        <w:spacing w:before="40" w:after="60"/>
        <w:ind w:left="283"/>
      </w:pPr>
      <w:r>
        <w:rPr>
          <w:rFonts w:ascii="Arial" w:hAnsi="Arial"/>
          <w:color w:val="404040"/>
          <w:sz w:val="21"/>
        </w:rPr>
        <w:t>El Banco Central redujo su proyección de crecimiento del PIB para 2026 a un rango de 1%-1,75%, desde el 1,5%-2,5% estimado en marzo, debido a la sorpresa negativa de la actividad en el primer trimestre, afectada por minería del cobre, agricultura, pesca y menor turismo. En contraste, mejoró las perspectivas para 2027 (2,0%-3,0%) y 2028 (1,75%-2,75%), impulsadas por una mejor proyección de inversión, cuyo pronóstico para 2026 bajó de 4% a 2,2% pero cuyo catastro de grandes proyectos 2026-2029 subió 33%. La inflación de fin de año se proyecta en 4,2% (desde 4%), con retorno a 3% hacia el segundo trimestre de 2027, mientras el consumo privado se modera por menor empleo y menores ingresos reales. El Central mantuvo la TPM en 4,5% y reiteró que evaluará reunión a reunión según evolucione el conflicto en Medio Oriente.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Mercado destaca mensaje de cautela del Banco Central frente a incertidumbre geopolítica y desestima cambios en la TPM para el resto del año</w:t>
      </w:r>
    </w:p>
    <w:p>
      <w:pPr>
        <w:spacing w:before="40" w:after="60"/>
        <w:ind w:left="283"/>
      </w:pPr>
      <w:r>
        <w:rPr>
          <w:rFonts w:ascii="Arial" w:hAnsi="Arial"/>
          <w:color w:val="404040"/>
          <w:sz w:val="21"/>
        </w:rPr>
        <w:t>Analistas de mercado destacaron la cautela del Banco Central en su comunicado de junio, que mantuvo la TPM en 4,5% y mostró un cambio de tono respecto a abril al señalar que el balance de riesgos inflacionarios se ha equilibrado. Economistas de Itaú, Zurich, Coopeuch, Santander y Bci coincidieron en que el Central seguirá una estrategia dependiente de los datos, reunión a reunión, ante la persistente incertidumbre geopolítica y la debilidad del mercado laboral. La mayoría proyecta una pausa prolongada de la tasa durante el resto de 2026, con el primer recorte recién hacia 2027, aunque algunos no descartan una postura más flexible hacia fin de año si los precios de la energía siguen corrigiendo a la baja.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Gobierno abre espacio de negociaciones ad portas del inicio de votación clave del proyecto misceláneo en el Senado</w:t>
      </w:r>
    </w:p>
    <w:p>
      <w:pPr>
        <w:spacing w:before="40" w:after="60"/>
        <w:ind w:left="283"/>
      </w:pPr>
      <w:r>
        <w:rPr>
          <w:rFonts w:ascii="Arial" w:hAnsi="Arial"/>
          <w:color w:val="404040"/>
          <w:sz w:val="21"/>
        </w:rPr>
        <w:t>El gobierno sostuvo una reunión de dos horas con senadores del Comité Unido (DC, PC, FA, FRVS e independientes) para negociar el proyecto de ley misceláneo de reactivación y reconstrucción, que se vota este miércoles en la comisión de Hacienda del Senado tras concluir audiencias con cerca de 50 expositores. Los principales focos de discusión son el impacto fiscal de las rebajas de impuestos a empresas, la reintegración tributaria y el nuevo crédito al empleo formal (cuyo costo fiscal es de unos US$ 1.400 millones anuales). Hay avances en temas como reducir de 25 a 20 años la invariabilidad tributaria para inversionistas, subir el monto mínimo para acceder al mecanismo a entre US$ 100 y US$ 200 millones, y reformular —sin eliminar— la franquicia Sence con foco en pymes. La oposición se comprometió a presentar una contrapropuesta conjunta antes del próximo lunes.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Con el cinturón apretado: los consumidores en Chile reducen su gasto en primeros tres meses del año</w:t>
      </w:r>
    </w:p>
    <w:p>
      <w:pPr>
        <w:spacing w:before="40" w:after="60"/>
        <w:ind w:left="283"/>
      </w:pPr>
      <w:r>
        <w:rPr>
          <w:rFonts w:ascii="Arial" w:hAnsi="Arial"/>
          <w:color w:val="404040"/>
          <w:sz w:val="21"/>
        </w:rPr>
        <w:t>El Consumer Insights de Worldpanel by Numerator mostró que el volumen de compra de los hogares chilenos cayó 2,3% anual en el primer trimestre de 2026, su menor nivel desde mediados de 2024, mientras el crecimiento del gasto se desaceleró de 3,5% a 2,6%, presionado por una inflación de la canasta básica de 5,0%. Alimentos concentra 50% del gasto del hogar, seguido de bebestibles (17%), lácteos y cuidado del hogar (11% cada uno); por productos, cervezas (-4,5%), pañales (-3,2%) y cecinas/detergentes (-2,0%) retrocedieron más, mientras cuidado personal —especialmente cremas faciales— y petfood mostraron resiliencia. La frecuencia de compra cayó 5% pese a que las unidades por acto subieron 4%, y las regiones norte (-9,2%) y sur (-8,1%) registraron las mayores contracciones, mientras el canal moderno (hipermercados y supermercados) mantiene 61,4% de las preferencias de compra.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Este es el borrador del memorándum de 14 puntos entre Estados Unidos e Irán</w:t>
      </w:r>
    </w:p>
    <w:p>
      <w:pPr>
        <w:spacing w:before="40" w:after="60"/>
        <w:ind w:left="283"/>
      </w:pPr>
      <w:r>
        <w:rPr>
          <w:rFonts w:ascii="Arial" w:hAnsi="Arial"/>
          <w:color w:val="404040"/>
          <w:sz w:val="21"/>
        </w:rPr>
        <w:t>Bloomberg difundió el borrador del memorando de entendimiento de 14 puntos entre EEUU e Irán, que se firmaría formalmente el 19 de junio en Suiza y abriría 60 días de negociaciones para un acuerdo nuclear definitivo. El texto establece el fin inmediato de las hostilidades en todos los frentes (incluido Líbano), el levantamiento del bloqueo naval de EEUU y la reapertura del estrecho de Ormuz en 30 días, además de un fondo de reconstrucción para Irán de al menos US$ 300.000 millones y el levantamiento de sanciones según un calendario a acordar. Irán reitera que nunca producirá armas nucleares, mientras ambas partes acuerdan mantener el statu quo nuclear durante la negociación y EEUU se compromete a emitir exenciones para exportaciones de crudo iraní y liberar fondos congelados. La agencia iraní Tasnim cuestionó la exactitud de algunas partes del texto publicado.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fondo de US$ 300.000 millones al que accedería Irán tras un pacto nuclear y que complica el discurso triunfalista de Trump</w:t>
      </w:r>
    </w:p>
    <w:p>
      <w:pPr>
        <w:spacing w:before="40" w:after="60"/>
        <w:ind w:left="283"/>
      </w:pPr>
      <w:r>
        <w:rPr>
          <w:rFonts w:ascii="Arial" w:hAnsi="Arial"/>
          <w:color w:val="404040"/>
          <w:sz w:val="21"/>
        </w:rPr>
        <w:t>El acuerdo entre EEUU e Irán, a firmarse el viernes en Ginebra, incluye la creación de un fondo de inversión de US$ 300.000 millones para la reconstrucción de Irán, financiado íntegramente con capital privado de EEUU, países del Golfo, Asia, Sudamérica y África —más de la mitad ya comprometida según Reuters—. El vicepresidente JD Vance y Trump insisten en que Washington no aportará fondos públicos y que el acceso de Irán a estos recursos dependerá de que cumpla con inspecciones nucleares estrictas y desmantele capacidades sensibles. La iniciativa genera un flanco político incómodo para Trump, quien durante años criticó duramente el acuerdo nuclear de 2015 de Obama por ofrecer beneficios financieros similares a Irán, lo que analistas y opositores ahora comparan con el nuevo esquema pese a las diferencias señaladas por la Casa Blanca.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"Soy el jefe", dice Trump a los líderes del G7 en la cumbre en Francia y muestra su apoyo a Ucrania</w:t>
      </w:r>
    </w:p>
    <w:p>
      <w:pPr>
        <w:spacing w:before="40" w:after="60"/>
        <w:ind w:left="283"/>
      </w:pPr>
      <w:r>
        <w:rPr>
          <w:rFonts w:ascii="Arial" w:hAnsi="Arial"/>
          <w:color w:val="404040"/>
          <w:sz w:val="21"/>
        </w:rPr>
        <w:t>En la cumbre del G7 en Évian-les-Bains, Francia, Trump declaró "yo soy el jefe" mientras los líderes reconocían la mejora de la posición de Ucrania en el campo de batalla y acordaron un comunicado conjunto de apoyo unánime junto con nuevas sanciones contra Rusia. El comunicado sugiere que Trump se mostró más receptivo a los argumentos de Zelenski tras años de escepticismo, aunque persiste la incertidumbre sobre conversaciones bilaterales y sobre si Washington dejará caducar las exenciones a sanciones sobre petróleo ruso. Los líderes también respaldaron el acuerdo de paz preliminar entre EEUU e Irán y se comprometieron a diversificar las rutas de suministro energético para reducir la dependencia del estrecho de Ormuz. Francia impulsó además una declaración sobre minerales críticos para reducir la dependencia de China, tras las restricciones de Beijing a tierras raras, tungsteno y antimonio en 2025.</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Kast ratifica a Carolina Rossi como subsecretaria de Ciencia</w:t>
      </w:r>
    </w:p>
    <w:p>
      <w:pPr>
        <w:spacing w:before="40" w:after="60"/>
        <w:ind w:left="283"/>
      </w:pPr>
      <w:r>
        <w:rPr>
          <w:rFonts w:ascii="Arial" w:hAnsi="Arial"/>
          <w:color w:val="404040"/>
          <w:sz w:val="21"/>
        </w:rPr>
        <w:t>El Presidente José Antonio Kast ratificó a Carolina Rossi como subsecretaria del Ministerio de Ciencia, Tecnología, Conocimiento e Innovación, cargo que ocupaba como subrogante desde el 11 de mayo, tras la polémica salida de Rafael Araos por desencuentros con la ministra Ximena Lincolao. Rossi, periodista con experiencia en Start-Up Chile, Europe Startup Nations Alliance y World Summit Awards, había ingresado al gobierno en abril como jefa de la División de Tecnologías Emergentes. El gobierno señaló que su nombramiento da continuidad al trabajo de fortalecimiento de la investigación y el desarrollo científico-tecnológico del país.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¿Es viable y efectivo utilizar la Clave Única para verificar la mayoría de edad en plataformas y redes sociales?</w:t>
      </w:r>
    </w:p>
    <w:p>
      <w:pPr>
        <w:spacing w:before="40" w:after="60"/>
        <w:ind w:left="283"/>
      </w:pPr>
      <w:r>
        <w:rPr>
          <w:rFonts w:ascii="Arial" w:hAnsi="Arial"/>
          <w:color w:val="404040"/>
          <w:sz w:val="21"/>
        </w:rPr>
        <w:t>El Ministerio de Desarrollo Social evalúa usar la Clave Única para verificar la mayoría de edad en redes sociales y plataformas digitales, en paralelo a un proyecto de ley presentado por 10 diputados para proteger a menores de la adicción tecnológica. La ministra María Jesús Wulf indicó que el gobierno está en etapa de levantamiento de evidencia, con mesas técnicas que comienzan este jueves, sin apresurar decisiones. Abogados consultados por DF señalan desafíos: mientras algunos ven viabilidad jurídica si se garantiza anonimato y doble ciego, otros advierten "múltiples falencias" y complejidad técnica para integrar una credencial estatal en plataformas globales con baja capacidad de negociación de Chile. El debate sigue la tendencia internacional de Australia (ley vigente desde diciembre con multas de hasta US$ 33 millones, pero resultados decepcionantes según el NYT), Reino Unido (proyecto de Keir Starmer) y la Unión Europea, que ya tiene lista una herramienta de verificación etaria anónima.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Sala cuna universal, ¿ahora sí?</w:t>
      </w:r>
    </w:p>
    <w:p>
      <w:pPr>
        <w:spacing w:before="40" w:after="60"/>
        <w:ind w:left="283"/>
      </w:pPr>
      <w:r>
        <w:rPr>
          <w:rFonts w:ascii="Arial" w:hAnsi="Arial"/>
          <w:color w:val="404040"/>
          <w:sz w:val="21"/>
        </w:rPr>
        <w:t>El proyecto de sala cuna universal del gobierno, según indicaciones presentadas y explicadas por el ministro del Trabajo Tomás Rau, busca corregir el incentivo perverso del artículo 203 del Código del Trabajo, que obliga a empresas con 20 o más trabajadoras a financiar el beneficio, desincentivando la contratación femenina —con una desocupación femenina de 10,5% en el trimestre febrero-abril según el INE—. El financiamiento se estructura mediante un Fondo de Sala Cuna con una cotización de 0,35% a cargo del empleador, compensada con una reducción equivalente en las cotizaciones al Seguro de Cesantía (0,2 puntos menos en cuentas individuales y 0,15 en el Fondo de Cesantía Solidario, que hoy acumula $3,6 billones). El autor destaca que cada punto de aumento en participación laboral femenina se traduce en 0,1% adicional de PIB según Clapes UC, y valora el respaldo público del exministro Mario Marcel a la fórmula como señal de sustento transversal, aunque advierte que su viabilidad de largo plazo depende de las tasas de uso proyectadas y la capacidad fiscal del Estado.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Recaudación pública y garantías de los contribuyentes</w:t>
      </w:r>
    </w:p>
    <w:p>
      <w:pPr>
        <w:spacing w:before="40" w:after="60"/>
        <w:ind w:left="283"/>
      </w:pPr>
      <w:r>
        <w:rPr>
          <w:rFonts w:ascii="Arial" w:hAnsi="Arial"/>
          <w:color w:val="404040"/>
          <w:sz w:val="21"/>
        </w:rPr>
        <w:t>La columna analiza el debate generado por las nuevas facultades de fiscalización incorporadas en la Ley de Cumplimiento de las Obligaciones Tributarias, que buscan reducir la evasión y financiar bienes públicos mediante una recaudación más eficiente. El autor advierte que estas facultades, especialmente cuando implican acceso a cuentas bancarias o activos financieros, deben ir acompañadas de procedimientos claros, notificaciones oportunas y mecanismos de revisión accesibles para resguardar la seguridad jurídica y la confianza ciudadana. Concluye que el desafío no es elegir entre eficacia fiscal y garantías de los contribuyentes, sino compatibilizar ambas para lograr un sistema tributario legítimo y proporcional.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IVA a medicamentos y pañales: el desafío de transformar una buena idea en una política efectiva</w:t>
      </w:r>
    </w:p>
    <w:p>
      <w:pPr>
        <w:spacing w:before="40" w:after="60"/>
        <w:ind w:left="283"/>
      </w:pPr>
      <w:r>
        <w:rPr>
          <w:rFonts w:ascii="Arial" w:hAnsi="Arial"/>
          <w:color w:val="404040"/>
          <w:sz w:val="21"/>
        </w:rPr>
        <w:t>La columna evalúa la propuesta de devolución de IVA a medicamentos y pañales destinada al 80% más vulnerable de la población, valorando el objetivo pero cuestionando el mecanismo de implementación. Señala que el esquema obliga a las personas a pagar el valor total del producto y esperar la devolución al mes siguiente vía Bolsillo Familiar Electrónico, lo que genera problemas de liquidez especialmente en medicamentos de gastos urgentes o tratamientos permanentes. La autora cita a la OCDE, que recomienda sistemas de IVA homogéneos con apoyo focalizado mediante transferencias directas en lugar de exenciones, y advierte dudas pendientes sobre productos cubiertos, topes del beneficio y alcance real considerando el presupuesto anunciado.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17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