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27 De Mayo De 2026</w:t>
      </w:r>
    </w:p>
    <w:p>
      <w:pPr>
        <w:jc w:val="center"/>
      </w:pPr>
      <w:r>
        <w:rPr>
          <w:rFonts w:ascii="Arial" w:hAnsi="Arial"/>
          <w:color w:val="999999"/>
          <w:sz w:val="20"/>
        </w:rPr>
        <w:t>6 secciones  ·  21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abre al alza cerca de 10.800 puntos tras borrador de acuerdo que pondría fin al conflicto del golfo Pérsico</w:t>
      </w:r>
    </w:p>
    <w:p>
      <w:pPr>
        <w:spacing w:before="40" w:after="60"/>
        <w:ind w:left="283"/>
      </w:pPr>
      <w:r>
        <w:rPr>
          <w:rFonts w:ascii="Arial" w:hAnsi="Arial"/>
          <w:color w:val="404040"/>
          <w:sz w:val="21"/>
        </w:rPr>
        <w:t>El IPSA chileno abrió con un alza de 0,4% a 10.791 puntos este miércoles, impulsado principalmente por Latam (+3%), en respuesta al anuncio de un borrador de acuerdo entre Irán y EEUU que restablecería el tráfico por el Estrecho de Ormuz, lo que provocó una caída del petróleo Brent de 3,8% a US$95,8 por barril. SQM, pese a reportar un Ebitda estelar de US$837 millones que superó el consenso de Bloomberg, retrocedió 0,9% por la caída del precio del litio desde su peak de mediados de mes. La temporada de resultados del IPSA concluyó con utilidades que subieron 12,1% interanual y superaron en 15,2% las estimaciones del consenso. En Wall Street, el Dow Jones avanzaba 0,2% mientras los mercados europeos también mostraban ganancias moderadas.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con leve caída mientras el Brent pierde los US$ 100 tras borrador de acuerdo entre Irán y EEUU</w:t>
      </w:r>
    </w:p>
    <w:p>
      <w:pPr>
        <w:spacing w:before="40" w:after="60"/>
        <w:ind w:left="283"/>
      </w:pPr>
      <w:r>
        <w:rPr>
          <w:rFonts w:ascii="Arial" w:hAnsi="Arial"/>
          <w:color w:val="404040"/>
          <w:sz w:val="21"/>
        </w:rPr>
        <w:t>El dólar cayó $1,1 a $893,5 en la apertura del mercado chileno este miércoles, en un contexto donde el petróleo Brent perdía cerca de 5% a US$94,7 por barril ante el avance de negociaciones entre Irán y EEUU. Según la televisión estatal iraní, el borrador de acuerdo contempla que Irán restablezca el tráfico por el Estrecho de Ormuz en un mes, a cambio del levantamiento del bloqueo naval y el retiro de fuerzas militares estadounidenses. Las tasas soberanas se relajaron en las principales economías, con mayor profundidad en Europa, mientras el dollar index retrocedía 0,2% y el cobre Comex cotizaba estable.</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Mintral, filial de logística minera de Grupo Ultramar, destaca positivo primer año de su hub de Copiapó, y proyecta nuevo terminal en Mejillones</w:t>
      </w:r>
    </w:p>
    <w:p>
      <w:pPr>
        <w:spacing w:before="40" w:after="60"/>
        <w:ind w:left="283"/>
      </w:pPr>
      <w:r>
        <w:rPr>
          <w:rFonts w:ascii="Arial" w:hAnsi="Arial"/>
          <w:color w:val="404040"/>
          <w:sz w:val="21"/>
        </w:rPr>
        <w:t>Mintral, brazo logístico del grupo Ultramar, celebró el primer año de su terminal Hacienda Toledo en Copiapó, que superó los 800 servicios mensuales de transporte y prácticamente triplicó su volumen de carga, apalancado principalmente por Lundin Mining como cliente de mayor volumen en la zona. El hub atiende además a grandes mineras como Collahuasi, Glencore y BHP, opera 100% con personas y proveedores locales (85% de participación regional), y gestiona cerca de 5.200 viajes mensuales desde sus 200.000 m² de instalaciones. La compañía ya proyecta su siguiente inversión: un nuevo terminal en Mejillones, cerca de los puertos de la bahía, para consolidarse como punto de apoyo logístico entre faenas y terminales marítimos. Sus ejecutivos subrayan que la logística minera 'ya no es un servicio de apoyo' sino un eje central de la cadena operacional, incorporando tecnología para anticipar demandas de los clientes.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rebelión de Mundo contra Subtel: por qué desafió a la autoridad y apostó todo por su plan "Chao Cables"</w:t>
      </w:r>
    </w:p>
    <w:p>
      <w:pPr>
        <w:spacing w:before="40" w:after="60"/>
        <w:ind w:left="283"/>
      </w:pPr>
      <w:r>
        <w:rPr>
          <w:rFonts w:ascii="Arial" w:hAnsi="Arial"/>
          <w:color w:val="404040"/>
          <w:sz w:val="21"/>
        </w:rPr>
        <w:t>Mundo Telecomunicaciones, controlada por el fondo estadounidense Digital Bridge, presentó un recurso de reposición ante Subtel luego de que el organismo rechazara su plan individual de retiro de cables y le ordenara sumarse al plan colectivo coordinado por Idicam con otras 11 empresas. La compañía argumenta que su plan cumple los requisitos de coordinación funcional exigidos por la normativa, y que sumarse al plan gremial generaría riesgos operativos —incluyendo posibles cortes de servicio—, subsidio cruzado al retirar infraestructura ajena, y pérdida de control sobre su propia red de fibra óptica 100%, que tiene menos de 10 años de antigüedad. Subtel e Idicam insisten en la necesidad de un trabajo colaborativo para ejecutar las 66.000 intervenciones en 319 comunas que contempla la ley Chao Cables, aunque el gremio aseguró que la ejecución del plan no está en riesgo pese a la disidencia de Mundo.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Pluxee sale al paso por acusaciones de colusión y asegura que la "conducta empresarial ética" es un pilar del grupo</w:t>
      </w:r>
    </w:p>
    <w:p>
      <w:pPr>
        <w:spacing w:before="40" w:after="60"/>
        <w:ind w:left="283"/>
      </w:pPr>
      <w:r>
        <w:rPr>
          <w:rFonts w:ascii="Arial" w:hAnsi="Arial"/>
          <w:color w:val="404040"/>
          <w:sz w:val="21"/>
        </w:rPr>
        <w:t>Pluxee Chile emitió una declaración pública horas después de que el TDLC diera a conocer un requerimiento de la FNE en su contra y contra Edenred Chile por presunta colusión en el mercado de beneficios corporativos de vestuario y alimentación entre 2013 y 2021. La empresa de capitales franceses señaló que analiza el contenido del requerimiento y determinará los cursos de acción legales pertinentes, recordando que este da inicio a un proceso judicial en que corresponde al TDLC pronunciarse sobre el mérito de la acusación. Pluxee reafirmó que el 'cumplimiento normativo y la conducta empresarial ética son pilares fundamentales del grupo', con capacitaciones y controles permanentes en todos los países donde opera.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Exclusivo: Española Grenergy apuesta por convertir a Chile en el gran hub de data centers de Latinoamérica</w:t>
      </w:r>
    </w:p>
    <w:p>
      <w:pPr>
        <w:spacing w:before="40" w:after="60"/>
        <w:ind w:left="283"/>
      </w:pPr>
      <w:r>
        <w:rPr>
          <w:rFonts w:ascii="Arial" w:hAnsi="Arial"/>
          <w:color w:val="404040"/>
          <w:sz w:val="21"/>
        </w:rPr>
        <w:t>La empresa española de energías renovables Grenergy presentó un ambicioso plan para desarrollar data centers en Chile bajo la plataforma GR Data, con dos campus cloud en los alrededores de Santiago —Polpaico Campus Norte y Alto Jahuel Campus Sur— que sumarán 600 MW de capacidad IT y 3,5 TWh de demanda anual, más el proyecto Atacama Data para entrenamiento de modelos de IA con capacidad inicial de 400 MW IT escalable hasta 1 GW. La compañía sustenta su apuesta en ventajas competitivas de Chile como energía renovable barata sin consumo de agua, conectividad a cables submarinos con latencias inferiores a 20 ms, y experiencia en permisos e infraestructura. En paralelo, Grenergy elevó su inversión global prevista a US$4.300 millones al 2028, concentrando el 45% (US$2.000 millones) en Chile para ampliar sus plataformas de energía solar y almacenamiento, consolidándose como uno de los principales inversores extranjeros en el país con una inversión acumulada de 2.800 millones de euros desde 2012.</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Ministerio Público abre nueva causa penal contra Codelco y fiscal confirma citación a Máximo Pacheco</w:t>
      </w:r>
    </w:p>
    <w:p>
      <w:pPr>
        <w:spacing w:before="40" w:after="60"/>
        <w:ind w:left="283"/>
      </w:pPr>
      <w:r>
        <w:rPr>
          <w:rFonts w:ascii="Arial" w:hAnsi="Arial"/>
          <w:color w:val="404040"/>
          <w:sz w:val="21"/>
        </w:rPr>
        <w:t>El Ministerio Público abrió una segunda causa penal contra Codelco por la sobreestimación de 27.000 toneladas de producción de cobre en diciembre de 2025, hecho que derivó en incentivos pagados indebidamente por US$14,3 millones a 6.322 trabajadores y ejecutivos de las divisiones Chuquicamata, Ministro Hales y Casa Matriz. El fiscal regional de O'Higgins, Aquiles Cubillos, quedó a cargo de ambas causas —esta y el accidente fatal en El Teniente— por decisión del fiscal nacional Ángel Valencia, aprovechando el conocimiento institucional ya acumulado. Cubillos confirmó que Máximo Pacheco, expresidente del directorio, será citado a declarar en la nueva arista y que sigue imputado en el caso El Teniente pese a haber dejado el cargo, mientras que los delitos investigados van desde falsificación de instrumento público hasta malversación de caudales públicos. César Márquez, gerente de Presupuesto y Control de Gestión desvinculado tras el escándalo, contrató al abogado Juan Pablo Hermosilla para su defensa.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Melissa Hohmann asumirá como nueva presidenta de la Asociación de Isapres</w:t>
      </w:r>
    </w:p>
    <w:p>
      <w:pPr>
        <w:spacing w:before="40" w:after="60"/>
        <w:ind w:left="283"/>
      </w:pPr>
      <w:r>
        <w:rPr>
          <w:rFonts w:ascii="Arial" w:hAnsi="Arial"/>
          <w:color w:val="404040"/>
          <w:sz w:val="21"/>
        </w:rPr>
        <w:t>A partir del 1 de junio, Melissa Hohmann asumirá como presidenta de Isapres de Chile, el gremio que agrupa a Colmena, Nueva Masvida, Cruz Blanca y Consalud, reemplazando a Gonzalo Arriagada Lillo, quien lideró la asociación desde agosto de 2023 durante el difícil período de implementación de la Ley Corta. Hohmann es abogada especializada en asuntos corporativos y compliance, con un máster en Derecho de la Empresa de la Universidad Los Andes, y su llegada según el gremio 'sella el período de ajustes normativos' e inaugura una nueva etapa centrada en la experiencia y los beneficios para los afiliados. Curiosamente, la nueva presidenta fue protagonista hace más de 15 años al interponer ante la FNE la denuncia que derivó en la condena por colusión de las principales cadenas de farmacias del país, caso que se cerró recién en agosto de 2025.</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Cristalerías de Chile designa a Cristián Sierra como su nuevo gerente general</w:t>
      </w:r>
    </w:p>
    <w:p>
      <w:pPr>
        <w:spacing w:before="40" w:after="60"/>
        <w:ind w:left="283"/>
      </w:pPr>
      <w:r>
        <w:rPr>
          <w:rFonts w:ascii="Arial" w:hAnsi="Arial"/>
          <w:color w:val="404040"/>
          <w:sz w:val="21"/>
        </w:rPr>
        <w:t>Cristalerías de Chile, firma ligada al Grupo DF, designó a Cristián Sierra Margenats como su nuevo gerente general, cargo que asumirá el 1 de julio en reemplazo de Eduardo Carvallo, quien permanecerá hasta esa fecha para asegurar una transición ordenada. Sierra es ingeniero civil industrial de la Universidad de Chile con MBA ejecutivo de la Universidad de los Andes, y acredita una extensa trayectoria en alta dirección: fue gerente general de Derco en Chile, Perú y Colombia, managing director de Inchcape &amp; Autoplanet, y más recientemente CEO de Inversiones Hualpén. El presidente del directorio, Baltazar Sánchez, destacó que la experiencia de Sierra en el liderazgo de organizaciones complejas a nivel nacional e internacional 'será un gran aporte para continuar el desarrollo de la compañía'.</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Hacienda acogerá cambio propuesto por el CFA que mejoraría el déficit estructural del Estado, pero sin alcanzar el balance al 2030</w:t>
      </w:r>
    </w:p>
    <w:p>
      <w:pPr>
        <w:spacing w:before="40" w:after="60"/>
        <w:ind w:left="283"/>
      </w:pPr>
      <w:r>
        <w:rPr>
          <w:rFonts w:ascii="Arial" w:hAnsi="Arial"/>
          <w:color w:val="404040"/>
          <w:sz w:val="21"/>
        </w:rPr>
        <w:t>El Ministerio de Hacienda incorporará en el decreto fiscal del 9 de junio un cambio metodológico propuesto por el Consejo Fiscal Autónomo (CFA), que reduce el déficit estructural proyectado desde 3,7% a 3,1% del PIB en 2025, desde 3,7% a 2,8% en 2026, y desde 1,8% a 1,6% en 2030, aunque sin alcanzar el equilibrio fiscal comprometido por el gobierno. El cambio simplifica el ajuste cíclico de los traspasos de Codelco al Fisco y de las grandes mineras privadas (GMP10), adopta el precio del cobre de la Bolsa de Metales de Londres y actualiza la estimación del PIB no minero tendencial con revisiones del Banco Central. La metodología vigente generaba 'inconsistencias' porque con el cobre cotizando 24,8% sobre el precio de referencia arrojaba ingresos estructurales negativos, resultado que Hacienda reconoce como 'económicamente inconsistente'. El punto de partida para el ministro Quiroz es un déficit estructural de 3,7% del PIB, lejos del equilibrio fiscal prometido para 2030.</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José Pablo Gómez, director de Dipres y denuncia por error en cálculo de deuda: “El Informe de Finanzas Públicas no está acusando a nadie. Lo que hace es corregir una trayectoria”</w:t>
      </w:r>
    </w:p>
    <w:p>
      <w:pPr>
        <w:spacing w:before="40" w:after="60"/>
        <w:ind w:left="283"/>
      </w:pPr>
      <w:r>
        <w:rPr>
          <w:rFonts w:ascii="Arial" w:hAnsi="Arial"/>
          <w:color w:val="404040"/>
          <w:sz w:val="21"/>
        </w:rPr>
        <w:t>En su primera entrevista en el cargo, el ingeniero profundiza en las diferencias detectadas por cerca de US$ 10.600 millones en las proyecciones de deuda a 2030. También destaca la información entregada al CFA y que su disposición al diálogo técnico es “total”. La publicación este lunes delprimer Informe de Finanzas Públicas (IFP)de la administración de José Antonio Kast ha vuelto a poner en el centro de la discusión laprecaria situación de las finanzas del Estado. En el reporte, elaborado en conjunto por el Ministerio de Hacienda y la Dirección de Presupuestos (Dipres), lanzó una dura acusación:que existirían US$ 10.600 millones en el empeoramiento de las proyecciones del balance estructural del Fisco para el período 2026 al 2030que no tienen correlato con el incremento de la deuda bruta del sector público para ese período.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Ministro José García Ruminot: “Nuestras metas de crecimiento y empleo están plenamente vigentes”</w:t>
      </w:r>
    </w:p>
    <w:p>
      <w:pPr>
        <w:spacing w:before="40" w:after="60"/>
        <w:ind w:left="283"/>
      </w:pPr>
      <w:r>
        <w:rPr>
          <w:rFonts w:ascii="Arial" w:hAnsi="Arial"/>
          <w:color w:val="404040"/>
          <w:sz w:val="21"/>
        </w:rPr>
        <w:t>El titular de la Secretaría General de la Presidencia (Segpres) sostuvo que no se puede seguir con la receta de subir impuestos para crecer y que, por eso, es importante aprobar pronto el proyecto de reactivación donde buscarán acuerdos, pero el diálogo -dice- no puede ser eterno. Enfocado en lograr acuerdos y el respaldo necesario para el proyecto de ley de reconstrucción y reactivación que enfrentará su paso por el Senado, pero también en los anuncios que formarán parte de lo que será la primera cuenta pública ante el Congreso del Presidente José Antonio Kast, está el ministro Secretario General de la Presidencia (Segpres), José García Ruminot. Un contexto precedido por lo que admite han sido meses intensos y complejos desde que partió la actual administración, pero que tiene esperanza en que la ciudadanía valore las medidas que están tomando para alcanzar un mayor crecimiento y, en esa misma línea, avanzar en la estabilidad en las cuentas fiscales. El secretario de Estado dice trabajar de memoria con el biministro del Interior y vocero, Claudio Alvarado, a quien se conoce desde sus épocas parlamentarias; y también revela que con el titular de Hacienda, Jorge Quiroz, habían trabajado anteriormente.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Quiroz y Grau vuelven a enfrentarse por situación fiscal y mercado pide resguardar institucionalidad</w:t>
      </w:r>
    </w:p>
    <w:p>
      <w:pPr>
        <w:spacing w:before="40" w:after="60"/>
        <w:ind w:left="283"/>
      </w:pPr>
      <w:r>
        <w:rPr>
          <w:rFonts w:ascii="Arial" w:hAnsi="Arial"/>
          <w:color w:val="404040"/>
          <w:sz w:val="21"/>
        </w:rPr>
        <w:t>El debate entre el ministro de Hacienda, Jorge Quiroz, y su antecesor Nicolás Grau se intensificó en torno a la 'inconsistencia' de US$10.600 millones detectada entre el deterioro del balance fiscal proyectado para 2026-2030 y el aumento de la deuda contemplado en los IFP del tercer y cuarto trimestre de 2025. Grau argumentó que la diferencia se explica técnicamente por la apreciación del peso, el aumento del PIB nominal y operaciones bajo la línea —incluyendo más de US$13.700 millones en recuperación de préstamos estatales—, mientras que el actual gobierno considera que esos factores no explican suficientemente la brecha y apunta a un error de trazabilidad. Economistas independientes evitaron tomar partido, señalando que se debate sobre supuestos metodológicos y no sobre hechos consumados, pero coincidieron en que el 'estrés fiscal sigue siendo significativo' y que lo más urgente es reforzar la institucionalidad fiscal, no la disputa política.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AmCham Chile nombra a nueva gerenta general: asumirá a mediados de julio</w:t>
      </w:r>
    </w:p>
    <w:p>
      <w:pPr>
        <w:spacing w:before="40" w:after="60"/>
        <w:ind w:left="283"/>
      </w:pPr>
      <w:r>
        <w:rPr>
          <w:rFonts w:ascii="Arial" w:hAnsi="Arial"/>
          <w:color w:val="404040"/>
          <w:sz w:val="21"/>
        </w:rPr>
        <w:t>AmCham Chile designó a Fernanda Soza Ried como su nueva gerenta general, cargo que asumirá el 17 de julio tras un proceso de selección orientado a identificar un liderazgo con experiencia en vínculos institucionales, comerciales y de innovación entre Chile y Estados Unidos. Soza es abogada de la Universidad Católica con Magíster en Derecho de Boston College Law School, donde recibió el Leadership Award y fue becaria Luksic Scholar. En los últimos ocho años lideró ChileMass (Chile Massachusetts Alliance), una plataforma binacional de conexión entre Chile y el ecosistema de innovación, ciencia, tecnología y emprendimiento de Boston que ella misma contribuyó a construir desde sus inicios.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Irán informa que acuerdo con EEUU reabriría Ormuz y la Casa Blanca recalca que cualquier pacto incluirá el tema nuclear</w:t>
      </w:r>
    </w:p>
    <w:p>
      <w:pPr>
        <w:spacing w:before="40" w:after="60"/>
        <w:ind w:left="283"/>
      </w:pPr>
      <w:r>
        <w:rPr>
          <w:rFonts w:ascii="Arial" w:hAnsi="Arial"/>
          <w:color w:val="404040"/>
          <w:sz w:val="21"/>
        </w:rPr>
        <w:t>La televisión estatal iraní divulgó los términos de un marco inicial no oficial para un memorando de entendimiento con Estados Unidos, bajo el cual Irán restablecería el tráfico comercial por el Estrecho de Ormuz en el plazo de un mes, a cambio del retiro de fuerzas militares estadounidenses y el levantamiento del bloqueo naval. La Casa Blanca confirmó que 'las negociaciones avanzan bien' pero subrayó que Trump solo aceptará un acuerdo que garantice que Irán nunca pueda tener un arma nuclear. El Brent cedió cerca de 5% a US$94,9 el barril ante la noticia, aunque el marco aún no es definitivo y la República Islámica exige 'verificación tangible' antes de avanzar, mientras que la agencia Mizan precisó que si se alcanza un acuerdo definitivo en 60 días, será aprobado mediante resolución vinculante del Consejo de Seguridad de la ONU.</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Los trabajadores de Samsung recibirán una suculenta bonificación de US$ 400.000 tras un acuerdo para compartir los beneficios de la IA</w:t>
      </w:r>
    </w:p>
    <w:p>
      <w:pPr>
        <w:spacing w:before="40" w:after="60"/>
        <w:ind w:left="283"/>
      </w:pPr>
      <w:r>
        <w:rPr>
          <w:rFonts w:ascii="Arial" w:hAnsi="Arial"/>
          <w:color w:val="404040"/>
          <w:sz w:val="21"/>
        </w:rPr>
        <w:t>El sindicato de Samsung Electronics aprobó con el 74% de los votos un histórico acuerdo de participación en las ganancias, por el cual los 78.000 trabajadores de la división de semiconductores recibirán el 10,5% de las utilidades operativas, más el 1,5% ya distribuido existente. Según proyecciones de KB Securities, esto generaría un fondo de bonificaciones superior a US$22.600 millones, con cada trabajador de chips de memoria recibiendo en promedio unos US$400.000, mientras que los de divisiones deficitarias recibirían entre US$115.000 y US$155.000. El acuerdo pone fin a meses de disputas sobre el reparto de los beneficios del boom de chips para IA, y llega tras un acuerdo similar alcanzado el año pasado por SK Hynix, que también alcanzó esta semana una capitalización bursátil de US$1 billón al igual que Samsung.</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laberinto diplomático que entrampala negociación entre Irán y Estados Unidos</w:t>
      </w:r>
    </w:p>
    <w:p>
      <w:pPr>
        <w:spacing w:before="40" w:after="60"/>
        <w:ind w:left="283"/>
      </w:pPr>
      <w:r>
        <w:rPr>
          <w:rFonts w:ascii="Arial" w:hAnsi="Arial"/>
          <w:color w:val="404040"/>
          <w:sz w:val="21"/>
        </w:rPr>
        <w:t>Las negociaciones entre Irán y EEUU para terminar el conflicto iniciado el 28 de febrero permanecen estancadas tras casi tres meses, con señales contradictorias que incluyen anuncios de acuerdo inminente seguidos de ataques militares y nuevas amenazas. Según el International Crisis Group, el nudo central es que Washington exige abordar el programa nuclear iraní desde el inicio y en sus propios términos, mientras Teherán insiste en que el primer paso debe ser el cese del fuego y el levantamiento del bloqueo antes de cualquier negociación nuclear sustantiva. La posición de Trump se ve presionada por las elecciones legislativas de noviembre, donde el Partido Republicano deberá justificar los resultados de un conflicto que Trump estimó en 'cuatro o cinco semanas' y que analistas como Ian Bremmer califican de costoso en vidas, economía global y reputación de EEUU sin un cambio de régimen ni desnuclearización iraní.</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Mercado Libre profundiza su negocio fintech en México y solicita a regulador licencia para operar fondos de inversión a través de Mercado Pago Fondos</w:t>
      </w:r>
    </w:p>
    <w:p>
      <w:pPr>
        <w:spacing w:before="40" w:after="60"/>
        <w:ind w:left="283"/>
      </w:pPr>
      <w:r>
        <w:rPr>
          <w:rFonts w:ascii="Arial" w:hAnsi="Arial"/>
          <w:color w:val="404040"/>
          <w:sz w:val="21"/>
        </w:rPr>
        <w:t>Mercado Libre solicitó a la CNBV de México autorización para operar como administradora de fondos de inversión a través de Mercado Pago Fondos, solicitud presentada en marzo de 2025 que permanece pendiente, y que se suma al trámite de licencia bancaria múltiple iniciado en septiembre de 2024. México se convirtió en el segundo mercado más importante para la compañía en el primer trimestre de 2026, con ingresos de US$1.976 millones que por primera vez superaron a Argentina (US$1.698 millones), con un crecimiento del volumen bruto de mercancías de 28% en moneda constante. El negocio fintech de Mercado Pago reportó ingresos netos de US$4.000 millones en el trimestre (+51% interanual), con 83 millones de usuarios activos mensuales, activos bajo gestión de casi US$20.000 millones (+77%) y una cartera de crédito de US$14.600 millones (+87%).</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Foco en bienestar, crecimiento sostenible y proyectos “transformadores”: Los detalles de la Estrategia Nacional de CTCI 2026</w:t>
      </w:r>
    </w:p>
    <w:p>
      <w:pPr>
        <w:spacing w:before="40" w:after="60"/>
        <w:ind w:left="283"/>
      </w:pPr>
      <w:r>
        <w:rPr>
          <w:rFonts w:ascii="Arial" w:hAnsi="Arial"/>
          <w:color w:val="404040"/>
          <w:sz w:val="21"/>
        </w:rPr>
        <w:t>La Estrategia Nacional de Ciencia, Tecnología, Conocimiento e Innovación 2026 será entregada hoy al Presidente José Antonio Kast. Plantea seis objetivos estratégicos, 37 iniciativas y ocho proyectos de rápida activación, entre ellos la reforma a la Ley de Incentivo Tributario a la I+D. Silvia Díaz, presidenta del Consejo Nacional de CTCI. ElConsejo Nacional de Ciencia, Tecnología, Conocimiento e Innovación para el Desarrollo (Consejo CTCI)presentará laEstrategia Nacional de CTCI 2026, un documento que orienta la política pública en estas materias, en un acto que coincide con los 20 años de trayectoria del órgano asesor autónomo de la presidencia. El documento, de 280 páginas, será entregado esta tarde alPresidente José Antonio Kasten La Moneda para incidir en las decisiones del período 2026-2030.</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El costo del desorden administrativo</w:t>
      </w:r>
    </w:p>
    <w:p>
      <w:pPr>
        <w:spacing w:before="40" w:after="60"/>
        <w:ind w:left="283"/>
      </w:pPr>
      <w:r>
        <w:rPr>
          <w:rFonts w:ascii="Arial" w:hAnsi="Arial"/>
          <w:color w:val="404040"/>
          <w:sz w:val="21"/>
        </w:rPr>
        <w:t>Una auditoría del actual gobierno a más de 500 servicios públicos detectó ineficiencias y faltas de control en el uso de recursos por cerca de US$9.200 millones durante la administración anterior, derivando en investigaciones en Junaeb, Sernameg, Prodemu, el Ministerio de Transportes y la Agencia Nacional de I+D. Entre los hallazgos más graves están los US$3.200 millones en deudas traspasadas a proveedores de salud y educación —el mayor nivel de pagos pendientes tras un cambio presidencial del que se tiene registro—, más de US$3.170 millones en compras por trato directo evitando mecanismos competitivos, y cerca de US$150 millones no recuperados en licencias médicas. La columna argumenta que el impacto trasciende lo contable, pues las demoras en pagos afectan directamente a las pymes proveedoras y debilitan servicios esenciales, y concluye que es imperativo fortalecer auditorías internas y robustecer mecanismos preventivos antes de que el deterioro en los estándares de gobernanza siga comprometiendo la credibilidad fiscal del país.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Vacíos en la Super de Casinos</w:t>
      </w:r>
    </w:p>
    <w:p>
      <w:pPr>
        <w:spacing w:before="40" w:after="60"/>
        <w:ind w:left="283"/>
      </w:pPr>
      <w:r>
        <w:rPr>
          <w:rFonts w:ascii="Arial" w:hAnsi="Arial"/>
          <w:color w:val="404040"/>
          <w:sz w:val="21"/>
        </w:rPr>
        <w:t>La presidenta ejecutiva de la Asociación Chilena de Casinos y Juegos alerta sobre un momento crítico para la industria: la Superintendencia de Casinos enfrenta vacantes en cargos clave y no tiene autoridad titular precisamente cuando se desarrollan procesos de licitación que definirán el desarrollo regional por décadas. A ello se suma que el Congreso discute simultáneamente un proyecto de ley que modificará las condiciones futuras de la industria y las apuestas en línea, generando incertidumbre regulatoria justo cuando se toman decisiones de inversión de largo plazo. La columna insta al gobierno a designar oportunamente las autoridades del sector y a considerar no solo el proceso licitatorio, sino también el contexto institucional y regulatorio completo, recordando que los casinos fueron concebidos como instrumentos de desarrollo turístico regional.</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27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