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29 De Mayo De 2026</w:t>
      </w:r>
    </w:p>
    <w:p>
      <w:pPr>
        <w:jc w:val="center"/>
      </w:pPr>
      <w:r>
        <w:rPr>
          <w:rFonts w:ascii="Arial" w:hAnsi="Arial"/>
          <w:color w:val="999999"/>
          <w:sz w:val="20"/>
        </w:rPr>
        <w:t>6 secciones  ·  22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abre al alza y recupera la marca de 10.900 puntos por expectativa de acuerdo de paz en Medio Oriente</w:t>
      </w:r>
    </w:p>
    <w:p>
      <w:pPr>
        <w:spacing w:before="40" w:after="60"/>
        <w:ind w:left="283"/>
      </w:pPr>
      <w:r>
        <w:rPr>
          <w:rFonts w:ascii="Arial" w:hAnsi="Arial"/>
          <w:color w:val="404040"/>
          <w:sz w:val="21"/>
        </w:rPr>
        <w:t>El IPSA chileno avanzó 0,3% hasta 10.922 puntos, impulsado principalmente por SQM-B (+1,5%), en una sesión marcada por el optimismo ante la posible firma de un acuerdo de paz entre Estados Unidos e Irán que reabriría el estrecho de Ormuz. Wall Street también operaba en terreno positivo, con el Dow Jones y el S&amp;P 500 cerca de máximos históricos. El petróleo Brent retrocedía 2% hasta US$ 91,8 por barril, encaminado a una caída de 11% semanal y 19% en mayo. El potencial acuerdo incluiría un alto al fuego de 60 días, retiro de minas iraníes en 30 días y negociaciones paralelas sobre el programa nuclear iraní y el alivio de sanciones.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Grupo Pampa sale al mercado a comprar US$ 38 millones en acciones de SQM tras positivos resultados de la compañía</w:t>
      </w:r>
    </w:p>
    <w:p>
      <w:pPr>
        <w:spacing w:before="40" w:after="60"/>
        <w:ind w:left="283"/>
      </w:pPr>
      <w:r>
        <w:rPr>
          <w:rFonts w:ascii="Arial" w:hAnsi="Arial"/>
          <w:color w:val="404040"/>
          <w:sz w:val="21"/>
        </w:rPr>
        <w:t>El grupo Pampa de Julio Ponce Lerou adquirió cerca de US$ 38 millones en acciones serie B de SQM luego de que la compañía reportara una mejora significativa en el Ebitda del primer trimestre y elevara su guidance de volumen de ventas de litio para 2026. La sociedad Oro Blanco desembolsó $26.900 millones para comprar 358.850 acciones el miércoles, y otros $7.500 millones por 99.623 acciones el jueves, elevando su participación a 15,98% de las acciones de SQM. Con estas adquisiciones, el grupo Pampa en conjunto (Oro Blanco, Potasios de Chile y Global Mining) mantiene un 24,09% de la propiedad de SQM. Paralelamente, se anunció que Oro Blanco será la sucesora legal de Norte Grande y Global Mining a partir del 1 de junio, en el marco de un proceso de simplificación societaria del grupo.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con leve caída a $ 890 en espera de que Trump firme un acuerdo de paz con Irán</w:t>
      </w:r>
    </w:p>
    <w:p>
      <w:pPr>
        <w:spacing w:before="40" w:after="60"/>
        <w:ind w:left="283"/>
      </w:pPr>
      <w:r>
        <w:rPr>
          <w:rFonts w:ascii="Arial" w:hAnsi="Arial"/>
          <w:color w:val="404040"/>
          <w:sz w:val="21"/>
        </w:rPr>
        <w:t>El dólar abrió a $890,4, una baja de $1,4 respecto al cierre previo, anticipando un descenso tanto semanal como mensual, en línea con los reportes de un preacuerdo de paz entre negociadores iraníes y estadounidenses. El petróleo Brent bajaba 1,6% a US$ 98,2 por barril, mientras el cobre Comex cotizaba a US$ 6,38 la libra, con alza de 6,7% en mayo. Analistas de MUFG señalaron que de concretarse el acuerdo y reabrirse el estrecho de Ormuz, se esperaría mayor presión bajista sobre las tasas de corto plazo y debilitamiento adicional del dólar global. Sin embargo, advirtieron que persistirá alta incertidumbre durante el período de negociación, lo que limitaría la caída del petróleo.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Exención transitoria del IVA en viviendas podría rebajar los dividendos en hasta $ 113 mil mensuales</w:t>
      </w:r>
    </w:p>
    <w:p>
      <w:pPr>
        <w:spacing w:before="40" w:after="60"/>
        <w:ind w:left="283"/>
      </w:pPr>
      <w:r>
        <w:rPr>
          <w:rFonts w:ascii="Arial" w:hAnsi="Arial"/>
          <w:color w:val="404040"/>
          <w:sz w:val="21"/>
        </w:rPr>
        <w:t>La propuesta gubernamental de exención transitoria del IVA en la primera vivienda generó expectativas, pero un análisis de Enlace Inmobiliario concluye que el beneficio real para el comprador dependerá principalmente de la estructura tributaria de cada inmobiliaria, no solo del valor de la propiedad. Para una vivienda de UF 4.000, el escenario más favorable —inmobiliarias con capacidad de imputar créditos fiscales— significaría una rebaja de 13,4% en el precio, ahorrando hasta $113.209 mensuales en dividendo. Sin embargo, el escenario más frecuente (Sociedades de Propósito Especial o inmobiliarias de giro único) implicaría solo una rebaja de 2,2% en el precio final, con un ahorro mensual de apenas $18.763. La empresa advierte que muchas personas están tomando decisiones de compra basadas en expectativas equivocadas sobre el alcance real de la medida.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Bci avanza en creación de nueva sociedad matriz: nombra directorio y gerente general</w:t>
      </w:r>
    </w:p>
    <w:p>
      <w:pPr>
        <w:spacing w:before="40" w:after="60"/>
        <w:ind w:left="283"/>
      </w:pPr>
      <w:r>
        <w:rPr>
          <w:rFonts w:ascii="Arial" w:hAnsi="Arial"/>
          <w:color w:val="404040"/>
          <w:sz w:val="21"/>
        </w:rPr>
        <w:t>La reorganización societaria de Bci continúa avanzando: el 24 de abril se celebró la primera sesión de directorio de Bci Group, la nueva holding que separará las operaciones de Bci Chile y City National Bank of Florida. El directorio quedó integrado por la familia Yarur —Luis Enrique, Ignacio, Diego y María Cristina Yarur— más Eugenio Von Chrismar, con Ignacio Yarur como presidente y Diego como vicepresidente. Andrés Irarrázaval fue designado gerente general, ejecutivo que también preside Empresas Juan Yarur SpA. El proceso culminará con una OPA a accionistas de Bci para canjear acciones por Bci Group, seguida de la división del banco y fusión con Bci 2. En paralelo, Bci prepara una emisión de bonos tokenizados a 40 años por UF 60 millones (US$ 2.648 millones) destinada a refinanciamiento y crecimiento de colocaciones.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Gobierno reordena plan penitenciario: no priorizará cárcel de máxima seguridad y rescata iniciativas ya en carpeta</w:t>
      </w:r>
    </w:p>
    <w:p>
      <w:pPr>
        <w:spacing w:before="40" w:after="60"/>
        <w:ind w:left="283"/>
      </w:pPr>
      <w:r>
        <w:rPr>
          <w:rFonts w:ascii="Arial" w:hAnsi="Arial"/>
          <w:color w:val="404040"/>
          <w:sz w:val="21"/>
        </w:rPr>
        <w:t>El gobierno de Kast reordenó su plan de infraestructura penitenciaria, descartando la construcción prioritaria de una cárcel de máxima seguridad —una de sus principales promesas de campaña— y optando en cambio por continuar el Plan Maestro heredado de la administración Boric. La estrategia ahora contempla licitar recintos por cerca de 7.000 nuevas plazas durante 2026 con inversiones de US$ 1.300 millones, incluyendo proyectos en Calama, ampliación de Santiago 1 y relicitaciones en distintas regiones. En total, se espera incorporar unas 12.000 plazas al sistema hacia 2030, muy por debajo de las 100.000 prometidas en campaña. El liderazgo técnico del proceso pasó completamente al Ministerio de Justicia tras la remoción del coordinador del MOP, cuya propuesta fue calificada de excesivamente ambiciosa.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Telcos en la misma frecuencia: sus líderes fijan posiciones y piden a las autoridades simplificar regulación</w:t>
      </w:r>
    </w:p>
    <w:p>
      <w:pPr>
        <w:spacing w:before="40" w:after="60"/>
        <w:ind w:left="283"/>
      </w:pPr>
      <w:r>
        <w:rPr>
          <w:rFonts w:ascii="Arial" w:hAnsi="Arial"/>
          <w:color w:val="404040"/>
          <w:sz w:val="21"/>
        </w:rPr>
        <w:t>Los principales ejecutivos de las telecomunicaciones chilenas —WOM, Entel, OnNet Fibra y Movistar (próxima Tigo)— coincidieron en el Telecom Congress en pedir certeza jurídica, simplificación de permisos y mayor colaboración público-privada para viabilizar sus planes de inversión. WOM tiene comprometidos US$ 200 millones para 2026 en 5G e infraestructura, mientras Entel destina entre US$ 200 y US$ 300 millones anuales a renovación de concesiones que están venciendo, lo que hace inviable invertir sin certeza jurídica. El CEO de Entel además pidió eliminar los límites de espectro que obligan a mantener cuatro operadores. La colombiana Carolina Vallejo hizo su primera aparición pública como CEO de Movistar, indicando que la compañía está enfocada en mejorar su sostenibilidad financiera y valorando el fast-track regulatorio impulsado por Subtel.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En medio de un complejo escenario vitivinícola, ministro Campos adelanta ajustes normativos para impulsar al sector</w:t>
      </w:r>
    </w:p>
    <w:p>
      <w:pPr>
        <w:spacing w:before="40" w:after="60"/>
        <w:ind w:left="283"/>
      </w:pPr>
      <w:r>
        <w:rPr>
          <w:rFonts w:ascii="Arial" w:hAnsi="Arial"/>
          <w:color w:val="404040"/>
          <w:sz w:val="21"/>
        </w:rPr>
        <w:t>La Asamblea Anual 2026 de Vinos de Chile evidenció la crisis del sector: el consumo mundial de vino cayó a su mínimo desde 1957, y las exportaciones chilenas de vino embotellado acumulan cinco años de caídas promedio de 3,7% en volumen y 5,6% en valor. El ministro de Agricultura, Jaime Campos, anunció ajustes normativos para dar mayor flexibilidad a la industria frente a las nuevas preferencias del consumidor y al crecimiento de bebidas con menor graduación alcohólica. El gobierno también apuntará al fortalecimiento de la agenda comercial, priorizando mercados con alto potencial como India, el sudeste asiático y México. Campos reconoció que se trata de negociaciones complejas y de largo plazo, pero se mostró esperanzado en alcanzar acuerdos.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Mujeres Empresarias y Diario Financiero definen a las ganadoras del Premio Ejecutiva del Año 2026</w:t>
      </w:r>
    </w:p>
    <w:p>
      <w:pPr>
        <w:spacing w:before="40" w:after="60"/>
        <w:ind w:left="283"/>
      </w:pPr>
      <w:r>
        <w:rPr>
          <w:rFonts w:ascii="Arial" w:hAnsi="Arial"/>
          <w:color w:val="404040"/>
          <w:sz w:val="21"/>
        </w:rPr>
        <w:t>El jurado del Premio Ejecutiva del Año 2026, organizado por Mujeres Empresarias y Diario Financiero, se reunió en las oficinas de Scotiabank para evaluar las trayectorias de 15 finalistas en cinco categorías: Gerencia General, Finanzas, Comercial, Legal y Personas. El jurado destacó la diversidad de industrias representadas por las candidatas, incluyendo minería, retail, salud, telecomunicaciones y tecnología, entre otras. Las ganadoras serán anunciadas el próximo 9 de julio. Este año, Mujeres Empresarias conmemora 25 años impulsando el liderazgo femenino y la participación de mujeres en posiciones de toma de decisión.</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La producción industrial volvió a caer en abril y cumplió su séptimo mes consecutivo a la baja</w:t>
      </w:r>
    </w:p>
    <w:p>
      <w:pPr>
        <w:spacing w:before="40" w:after="60"/>
        <w:ind w:left="283"/>
      </w:pPr>
      <w:r>
        <w:rPr>
          <w:rFonts w:ascii="Arial" w:hAnsi="Arial"/>
          <w:color w:val="404040"/>
          <w:sz w:val="21"/>
        </w:rPr>
        <w:t>El Índice de Producción Industrial (IPI) cayó 4,7% en abril respecto a igual mes de 2025, marcando su séptimo mes consecutivo de retroceso. La minería lideró la caída con un descenso de 9% —impulsado por una baja de 12,6% en la minería metálica por menor extracción de cobre— mientras la manufactura retrocedió 2,5%, afectada por una caída de 7,7% en elaboración de alimentos. En contraste, el comercio siguió expandiéndose: el Índice de Actividad del Comercio creció 3,2% anual en abril, acumulando un alza de 4,1% en el año. El comercio electrónico minorista destacó con un alza de 14,2% en doce meses, acumulando un crecimiento de 16% entre enero y abril.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Tasa de desocupación nacional sube a 9,1% en el trimestre febrero-abril, su nivel más alto en casi cinco años, impactada por el alza en mujeres</w:t>
      </w:r>
    </w:p>
    <w:p>
      <w:pPr>
        <w:spacing w:before="40" w:after="60"/>
        <w:ind w:left="283"/>
      </w:pPr>
      <w:r>
        <w:rPr>
          <w:rFonts w:ascii="Arial" w:hAnsi="Arial"/>
          <w:color w:val="404040"/>
          <w:sz w:val="21"/>
        </w:rPr>
        <w:t>La tasa de desempleo en Chile subió a 9,1% en el trimestre febrero-abril de 2026, su nivel más alto desde junio de 2021, con 944.794 personas sin empleo. El deterioro fue explicado íntegramente por las mujeres: su tasa de desocupación alcanzó 10,5% (+0,8 pp.), mientras la desocupación masculina bajó levemente a 8,0%. Preocupa además que el crecimiento del empleo fue impulsado exclusivamente por trabajadores informales (+4,5%), mientras el empleo formal cayó por segunda vez consecutiva (-0,6%). El biministro de Economía, Daniel Mas, calificó la situación de "drama social" y la vinculó al proyecto de reconstrucción nacional que ingresará al Senado entre el 2 y 3 de junio.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Ministro del Trabajo se reúne con parlamentarias de la UDI por sala cuna</w:t>
      </w:r>
    </w:p>
    <w:p>
      <w:pPr>
        <w:spacing w:before="40" w:after="60"/>
        <w:ind w:left="283"/>
      </w:pPr>
      <w:r>
        <w:rPr>
          <w:rFonts w:ascii="Arial" w:hAnsi="Arial"/>
          <w:color w:val="404040"/>
          <w:sz w:val="21"/>
        </w:rPr>
        <w:t>El ministro del Trabajo, Tomás Rau, se reunió con legisladoras de la UDI para avanzar en la discusión del proyecto de ley de sala cuna que se tramita en la Comisión de Educación del Senado. El gobierno tiene previsto ingresar indicaciones el 15 de junio. En la reunión participaron la jefa de bancada Flor Weisse, las vicepresidentas María José Hoffmann y Pía Margarit, y las diputadas Constanza Hube y Natalia Romero. El ministro destacó la urgencia del tema dado que la tasa de desempleo femenino alcanzó el 10%, contexto que da mayor presión política a la tramitación del proyecto.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Francisca Jünemann, presidenta ejecutiva de ChileMujeres:“Lo que nos preocupa es que se intente sacar todo desde el seguro de cesantía” para financiar sala cuna</w:t>
      </w:r>
    </w:p>
    <w:p>
      <w:pPr>
        <w:spacing w:before="40" w:after="60"/>
        <w:ind w:left="283"/>
      </w:pPr>
      <w:r>
        <w:rPr>
          <w:rFonts w:ascii="Arial" w:hAnsi="Arial"/>
          <w:color w:val="404040"/>
          <w:sz w:val="21"/>
        </w:rPr>
        <w:t>Para la vocera, el gobierno tiene una oportunidad única al contar con una oposición que apoya el tema, pero añade que “no pueden estirar demasiado el elástico, porque pueden terminar matando el proyecto, y eso sí que no tendría perdón”. Hay expectativa al interior de las diversas organizaciones sociales que han potenciado y empujado la discusión en torno al proyecto de sala cuna. A pocos días de la primera cuenta pública del Presidente José Antonio Kast, los actores esperan señales de que el tema es una prioridad. Esto, en un escenario en donde el ministro del Trabajo, Tomás Rau, ha reforzado que el Ejecutivo ingresará indicaciones el 15 de junio, cambios que son esperados por entidades como la Fundación ChileMujeres.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Dipres suma US$ 1.770 millones en pagos de intereses a 2030 por recálculo de deuda</w:t>
      </w:r>
    </w:p>
    <w:p>
      <w:pPr>
        <w:spacing w:before="40" w:after="60"/>
        <w:ind w:left="283"/>
      </w:pPr>
      <w:r>
        <w:rPr>
          <w:rFonts w:ascii="Arial" w:hAnsi="Arial"/>
          <w:color w:val="404040"/>
          <w:sz w:val="21"/>
        </w:rPr>
        <w:t>Como consecuencia del error detectado en las proyecciones de deuda pública del IFP del cuarto trimestre de 2025 —que subestimaba el nivel de endeudamiento en US$ 10.500 millones (3% del PIB)— la Dipres revisó al alza sus proyecciones de pagos de intereses para el período 2026-2030, sumando US$ 1.770 millones adicionales. Para 2026, los pagos de intereses llegarán a US$ 5.200 millones, un 11,7% más que en 2025 y equivalente a 1,3% del PIB, el mayor nivel desde 1994. Las presiones se aceleran hacia el final de la década, con alzas proyectadas de 13,7% en 2028, 10,2% en 2029 y 8,7% en 2030. El escenario fiscal se complica además por menores ingresos proyectados y compromisos de gasto no completamente financiados en la Ley de Presupuestos 2026.</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 OTAN promete defenderse ante ataque ruso a edificio residencial en Rumania</w:t>
      </w:r>
    </w:p>
    <w:p>
      <w:pPr>
        <w:spacing w:before="40" w:after="60"/>
        <w:ind w:left="283"/>
      </w:pPr>
      <w:r>
        <w:rPr>
          <w:rFonts w:ascii="Arial" w:hAnsi="Arial"/>
          <w:color w:val="404040"/>
          <w:sz w:val="21"/>
        </w:rPr>
        <w:t>Un dron ruso impactó un edificio residencial de 10 pisos en Galati, Rumania, hiriendo levemente a una mujer y un niño en lo que constituyó la primera vez que una zona densamente poblada de un país de la OTAN registra heridos durante la guerra en Ucrania. El secretario general de la OTAN, Mark Rutte, condenó el "comportamiento imprudente" de Rusia y reafirmó que la alianza está "preparada para defender cada centímetro del territorio aliado", aunque sin activar la cláusula de defensa mutua. Rumania comparte 650 km de frontera con Ucrania y ha registrado 28 violaciones de su espacio aéreo por drones rusos desde 2022. La OTAN estudia medidas defensivas adicionales, incluyendo radares de baja altitud y drones interceptores.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Exxon y Chevron advierten de mayor presión sobre el petróleo ante el vaciamiento de reservas por la guerra</w:t>
      </w:r>
    </w:p>
    <w:p>
      <w:pPr>
        <w:spacing w:before="40" w:after="60"/>
        <w:ind w:left="283"/>
      </w:pPr>
      <w:r>
        <w:rPr>
          <w:rFonts w:ascii="Arial" w:hAnsi="Arial"/>
          <w:color w:val="404040"/>
          <w:sz w:val="21"/>
        </w:rPr>
        <w:t>Los directivos de Exxon Mobil y Chevron advirtieron que los inventarios globales de crudo se acercan a niveles sin precedentes como consecuencia del cierre del estrecho de Ormuz, que ha retirado entre 12 y 13 millones de barriles diarios del mercado global. Neil Chapman de Exxon proyectó que los cargamentos físicos de Brent podrían alcanzar entre US$ 150 y US$ 160 por barril una vez que las existencias lleguen a mínimos históricos. Mike Wirth de Chevron anticipó que las presiones se trasladarán a los precios físicos "en las próximas semanas", especialmente en junio y julio. Ambos ejecutivos señalaron que los amortiguadores del mercado —reservas estratégicas, crudo de países sancionados e inventarios previos— se están agotando rápidamente y no pueden sostener el equilibrio por mucho más tiempo.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Un cohete de Blue Origin explota en la plataforma de lanzamiento en Florida en un duro revés para la empresa de Jeff Bezos</w:t>
      </w:r>
    </w:p>
    <w:p>
      <w:pPr>
        <w:spacing w:before="40" w:after="60"/>
        <w:ind w:left="283"/>
      </w:pPr>
      <w:r>
        <w:rPr>
          <w:rFonts w:ascii="Arial" w:hAnsi="Arial"/>
          <w:color w:val="404040"/>
          <w:sz w:val="21"/>
        </w:rPr>
        <w:t>El cohete New Glenn de Blue Origin, sin tripulación, explotó en la plataforma de lanzamiento de Cabo Cañaveral durante una prueba de encendido en caliente, en lo que constituye un importante retroceso para la empresa espacial de Jeff Bezos. El incidente ocurrió apenas dos días después de que la NASA adjudicara a Blue Origin un contrato de US$ 188 millones para llevar róveres a la Luna, y poco después de una exitosa prueba del Starship de SpaceX. El cohete estaba siendo preparado para su cuarto lanzamiento, que debía poner en órbita 48 satélites Amazon Leo para competir con la red Starlink de Musk. Bezos anunció que reconstruirán lo necesario y volverán a volar, mientras la NASA señaló que evaluará el impacto en los programas Artemis y Moon Base.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Las acciones de Dell se disparan casi un 40% tras superar proyecciones de ventas gracias al auge de la IA</w:t>
      </w:r>
    </w:p>
    <w:p>
      <w:pPr>
        <w:spacing w:before="40" w:after="60"/>
        <w:ind w:left="283"/>
      </w:pPr>
      <w:r>
        <w:rPr>
          <w:rFonts w:ascii="Arial" w:hAnsi="Arial"/>
          <w:color w:val="404040"/>
          <w:sz w:val="21"/>
        </w:rPr>
        <w:t>Dell Technologies proyectó ingresos para el ejercicio fiscal que termina en enero de 2027 de US$ 167.000 millones, incluyendo US$ 60.000 millones provenientes de servidores de IA, cifra muy superior a la estimación previa de US$ 140.000 millones y al consenso de analistas de US$ 142.100 millones. Como resultado, las acciones se dispararon cerca de 38% en operaciones previas a la apertura, alcanzando US$ 437,70 desde un cierre de US$ 317,05. En el último trimestre, Dell registró pedidos de IA por US$ 24.400 millones y ventas de servidores de IA por US$ 16.100 millones, atrayendo clientes como CoreWeave y Nscale. Las acciones de Dell acumulaban un alza superior al 150% en el año previo al anuncio, consolidando a la compañía como uno de los grandes ganadores del auge de la inteligencia artificial.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Ausencia de presidente de Ecopetrol continúa: junta directiva aplaza inicio de “licencia no remunerada” de Ricardo Roa por incapacidad médica</w:t>
      </w:r>
    </w:p>
    <w:p>
      <w:pPr>
        <w:spacing w:before="40" w:after="60"/>
        <w:ind w:left="283"/>
      </w:pPr>
      <w:r>
        <w:rPr>
          <w:rFonts w:ascii="Arial" w:hAnsi="Arial"/>
          <w:color w:val="404040"/>
          <w:sz w:val="21"/>
        </w:rPr>
        <w:t>En medio de investigaciones judiciales en su contra, la medida posterga hasta el 27 de junio el inicio de su ausencia y mantiene a Juan Carlos Hurtado Parra al frente de la compañía de manera interina. La trama en torno a laausencia del presidente de Ecopetrol continúa.La Junta Directiva de la compañía autorizóaplazar el inicio de la "licencia no remunerada" otorgada a Ricardo Roa el pasado 6 de abril. Según informó la petrolera estatal colombiana, la decisión fue adoptada luego de queel ejecutivo reportara el 26 de mayo una incapacidad médica por un período de 30 días calendario,apenas dos días antes de que comenzara el permiso.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José Antonio Guzmán, rector de la Universidad de los Andes:“Sería un error abordar la IA solo desde la productividad, la misión es formar personas capaces de desenvolverse en el mundo de hoy”</w:t>
      </w:r>
    </w:p>
    <w:p>
      <w:pPr>
        <w:spacing w:before="40" w:after="60"/>
        <w:ind w:left="283"/>
      </w:pPr>
      <w:r>
        <w:rPr>
          <w:rFonts w:ascii="Arial" w:hAnsi="Arial"/>
          <w:color w:val="404040"/>
          <w:sz w:val="21"/>
        </w:rPr>
        <w:t>El rector abordó la primera encíclica del Papa León XIV, y dijo que la inteligencia artificial obliga a las universidades a replantear la formación de las nuevas generaciones, fomentando el pensamiento crítico, la creatividad y el uso responsable de esta tecnología. La encíclica Magnifica Humanitas del Papa León XIV, en la que llama a “desarmar” la inteligencia artificial (IA), puso sobre la mesa temas como la concentración del poder, la regulación, transparencia y responsabilidad humana, y el impacto de la IA en el trabajo, la educación y la toma de decisiones. También hizo un llamado al mundo educativo a replantear la figura del docente y formar “un uso responsable, crítico y creativo” de estas herramientas. El rector de la Universidad de los Andes, José Antonio Guzmán, conversó con DF y valoró la carta papal como un documento “contundente”, que plantea desafíos al rol académico en la formación de las nuevas generaciones.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Competencia y vigilancia</w:t>
      </w:r>
    </w:p>
    <w:p>
      <w:pPr>
        <w:spacing w:before="40" w:after="60"/>
        <w:ind w:left="283"/>
      </w:pPr>
      <w:r>
        <w:rPr>
          <w:rFonts w:ascii="Arial" w:hAnsi="Arial"/>
          <w:color w:val="404040"/>
          <w:sz w:val="21"/>
        </w:rPr>
        <w:t>La columna analiza el requerimiento de la Fiscalía Nacional Económica (FNE) contra Pluxee (ex Sodexo) y Edenred por un presunto cartel que habría operado durante casi nueve años, entre 2013 y 2021, en el mercado de vales y tarjetas de alimentación. El esquema habría incluido coordinación para repartirse clientes y contratos, usando canales encubiertos como teléfonos prepago, Telegram y reuniones codificadas como "desayuno con los primos". La columna subraya que, pese al fortalecimiento regulatorio y las sanciones penales incorporadas tras escándalos anteriores, el riesgo de colusión persiste en mercados concentrados con barreras de entrada. También cuestiona la efectividad de los sistemas de compliance internos, dado que ejecutivos de alto nivel habrían desarrollado mecanismos específicos para ocultar las conductas ilícitas.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Repatriación de capitales</w:t>
      </w:r>
    </w:p>
    <w:p>
      <w:pPr>
        <w:spacing w:before="40" w:after="60"/>
        <w:ind w:left="283"/>
      </w:pPr>
      <w:r>
        <w:rPr>
          <w:rFonts w:ascii="Arial" w:hAnsi="Arial"/>
          <w:color w:val="404040"/>
          <w:sz w:val="21"/>
        </w:rPr>
        <w:t>La columna compara el nuevo régimen de repatriación de capitales propuesto en el proyecto de reconstrucción nacional con el proceso anterior de 2024, que recaudó solo US$ 93 millones de los US$ 600 millones esperados. El nuevo diseño amplía el plazo de acogimiento a 12 meses y reduce las tasas al 10% general y 7% para quienes inviertan en Chile, corrigiendo las principales debilidades del mecanismo anterior. El gobierno proyecta una recaudación adicional de US$ 300 millones, cifra que la autora considera conservadora comparada con el proceso de 2015 (tasa de 8%) que recaudó más de US$ 1.500 millones. La extensión del plazo y las tasas más competitivas son calificadas como condiciones necesarias para lograr las metas de recaudación.</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29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