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4 De Agosto De 2026</w:t>
      </w:r>
    </w:p>
    <w:p>
      <w:pPr>
        <w:jc w:val="center"/>
      </w:pPr>
      <w:r>
        <w:rPr>
          <w:rFonts w:ascii="Arial" w:hAnsi="Arial"/>
          <w:color w:val="999999"/>
          <w:sz w:val="20"/>
        </w:rPr>
        <w:t>6 secciones  ·  26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Dólar se hunde $ 10 a media mañana por las perspectivas de un pronto acuerdo de paz en Medio Oriente</w:t>
      </w:r>
    </w:p>
    <w:p>
      <w:pPr>
        <w:spacing w:before="40" w:after="60"/>
        <w:ind w:left="283"/>
      </w:pPr>
      <w:r>
        <w:rPr>
          <w:rFonts w:ascii="Arial" w:hAnsi="Arial"/>
          <w:color w:val="404040"/>
          <w:sz w:val="21"/>
        </w:rPr>
        <w:t>El peso chileno cayó $10 hasta $915 este martes, siendo la divisa emergente con mejor desempeño del día, impulsada por el creciente optimismo ante señales de un posible acuerdo diplomático en Medio Oriente. El futuro del cobre en Londres avanzó 1,2% hasta US$6,36 por libra (máximo desde principios de junio), mientras el petróleo Brent caía 4,5% a US$80 por barril ante expectativas de reapertura del estrecho de Ormuz. Las presiones bajistas sobre el dólar se intensificaron tras datos de ofertas de empleo de EEUU menores a lo esperado (7,36 millones en junio vs. 7,45 estimado) y por el Imacec de junio que superó expectativas y rompió cinco meses consecutivos de contracción de la actividad.</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Bolsa chilena abre al alza con impulso de Latam gracias a renovadas expectativas de una tregua en Medio Oriente</w:t>
      </w:r>
    </w:p>
    <w:p>
      <w:pPr>
        <w:spacing w:before="40" w:after="60"/>
        <w:ind w:left="283"/>
      </w:pPr>
      <w:r>
        <w:rPr>
          <w:rFonts w:ascii="Arial" w:hAnsi="Arial"/>
          <w:color w:val="404040"/>
          <w:sz w:val="21"/>
        </w:rPr>
        <w:t>El artículo estaba disponible exclusivamente para suscriptores y no contiene cuerpo de texto accesible; la nota corresponde al alza de la bolsa chilena y de mercados latinoamericanos ante las expectativas de un acuerdo diplomático en Medio Oriente que impulsó el precio del cobre y redujo la aversión al riesgo global.</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gobierno de Trump anticipa acuerdo con Irán para reabrir Ormuz este martes o miércoles y el petróleo profundiza sus bajas</w:t>
      </w:r>
    </w:p>
    <w:p>
      <w:pPr>
        <w:spacing w:before="40" w:after="60"/>
        <w:ind w:left="283"/>
      </w:pPr>
      <w:r>
        <w:rPr>
          <w:rFonts w:ascii="Arial" w:hAnsi="Arial"/>
          <w:color w:val="404040"/>
          <w:sz w:val="21"/>
        </w:rPr>
        <w:t>El petróleo Brent cayó hasta 4% por debajo de US$81 por barril después de que el secretario del Tesoro de EEUU, Scott Bessent, afirmara mantener conversaciones directas con Irán y anticipara un acuerdo inminente para reabrir el estratégico estrecho de Ormuz, ruta por la que circula una parte relevante del tráfico energético mundial. Qatar, uno de los principales mediadores, confirmó que ya circula una propuesta entre las partes, aunque advirtió que todavía no existe un acuerdo y no entregó plazos. Las negociaciones siguen siendo inciertas: Irán sostiene su derecho a controlar y cobrar peajes por el tránsito, mientras Trump asegura que debe existir libertad de movimiento; además, el canal central del estrecho habría sido minado y requeriría labores de despeje.</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Las reuniones de lobby de Cortez tras proponer el nuevo régimen de inversión para los fondos de pensiones</w:t>
      </w:r>
    </w:p>
    <w:p>
      <w:pPr>
        <w:spacing w:before="40" w:after="60"/>
        <w:ind w:left="283"/>
      </w:pPr>
      <w:r>
        <w:rPr>
          <w:rFonts w:ascii="Arial" w:hAnsi="Arial"/>
          <w:color w:val="404040"/>
          <w:sz w:val="21"/>
        </w:rPr>
        <w:t>Tras publicar la propuesta de régimen de inversión para los fondos de pensiones que regula el traspaso de multifondos a fondos generacionales, el superintendente previsional Joaquín Cortez sostuvo en julio reuniones por Ley de Lobby con Vanguard, Fintual y LarrainVial. Fintual —que evalúa ingresar a la administración de fondos de pensiones— presentó consideraciones sobre la construcción de portafolios factibles, y actores del mercado han señalado que el régimen propuesto podría perjudicar a nuevas AFP. Vanguard planteó observaciones y sugerencias formales, mientras LarrainVial concurrió con economistas de su equipo de estudios.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Spotify alcanza récord y llega a los 300 millones de suscriptores premium: 24% son de Latinoamérica</w:t>
      </w:r>
    </w:p>
    <w:p>
      <w:pPr>
        <w:spacing w:before="40" w:after="60"/>
        <w:ind w:left="283"/>
      </w:pPr>
      <w:r>
        <w:rPr>
          <w:rFonts w:ascii="Arial" w:hAnsi="Arial"/>
          <w:color w:val="404040"/>
          <w:sz w:val="21"/>
        </w:rPr>
        <w:t>Spotify reportó en el segundo trimestre de 2026 un hito histórico al alcanzar 300 millones de suscriptores premium, con un alza del 9% interanual, siendo Latinoamérica responsable del 24% de ese total y el 21% de los 777 millones de usuarios activos mensuales (+12% interanual). Los ingresos totales llegaron a €4,8 mil millones (aprox. US$5,5 mil millones), un incremento del 14% respecto al mismo período de 2025, aunque la utilidad neta cayó 24% frente al trimestre anterior hasta €545 millones (US$628 millones). La reproducción de podcasts en video aumentó más del 140% desde el lanzamiento de la función y ya superó los 500 millones de usuarios.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SNA y CChC reordenan el mapa radial: sellan la fusión entre Agricultura y Pauta</w:t>
      </w:r>
    </w:p>
    <w:p>
      <w:pPr>
        <w:spacing w:before="40" w:after="60"/>
        <w:ind w:left="283"/>
      </w:pPr>
      <w:r>
        <w:rPr>
          <w:rFonts w:ascii="Arial" w:hAnsi="Arial"/>
          <w:color w:val="404040"/>
          <w:sz w:val="21"/>
        </w:rPr>
        <w:t>La Sociedad Nacional de Agricultura (SNA) y la Cámara Chilena de la Construcción (CChC) suscribieron el acuerdo de integración para fusionar Radio Agricultura y Radio Pauta, configurando una nueva sociedad con 60% de participación para la SNA y 40% para la CChC. Ambas emisoras conservarán sus marcas y líneas editoriales, y la gestión operativa quedará bajo la administración actual de Radio Agricultura. La transacción aún debe superar la etapa regulatoria y obtener las autorizaciones legales antes de concretarse plenamente.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Resultados de Entel suben 39,4% en el segundo trimestre y alcanzan los $ 26 mil millones</w:t>
      </w:r>
    </w:p>
    <w:p>
      <w:pPr>
        <w:spacing w:before="40" w:after="60"/>
        <w:ind w:left="283"/>
      </w:pPr>
      <w:r>
        <w:rPr>
          <w:rFonts w:ascii="Arial" w:hAnsi="Arial"/>
          <w:color w:val="404040"/>
          <w:sz w:val="21"/>
        </w:rPr>
        <w:t>Entel registró utilidades netas de $26 mil millones en el segundo trimestre de 2026, un alza del 39,4% interanual, impulsada por el crecimiento de servicios móviles y venta de equipos en Chile y Perú. Los ingresos consolidados crecieron 8% hasta $781 mil millones y el Ebitda alcanzó $220 mil millones (+8,4%), mientras la base de clientes postpago sumó 1,16 millones de nuevos abonados en 12 meses para llegar a 14,5 millones en total entre ambos mercados. En Chile, las conexiones de internet por fibra crecieron 25,7% hasta 515 mil, y la empresa destacó su respuesta durante la emergencia climática reciente, activando sin costo la red satelital Direct to Cell con Starlink.</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Ajuste fiscal en las concesiones: Hacienda congela obras de transporte público por US$ 400 millones en Biobío</w:t>
      </w:r>
    </w:p>
    <w:p>
      <w:pPr>
        <w:spacing w:before="40" w:after="60"/>
        <w:ind w:left="283"/>
      </w:pPr>
      <w:r>
        <w:rPr>
          <w:rFonts w:ascii="Arial" w:hAnsi="Arial"/>
          <w:color w:val="404040"/>
          <w:sz w:val="21"/>
        </w:rPr>
        <w:t>El ministro de Hacienda, Jorge Quiroz, ordenó detener la tramitación de los decretos de adjudicación de los corredores de transporte público Ruta 160 y Ruta 150-Autopista Concepción-Talcahuano, ambos adjudicados al Grupo Azvi, argumentando que los subsidios asociados 'en las condiciones actuales no es posible absorber'. Las concesiones, que representan inversiones cercanas a US$400 millones (9 millones de UF), se encontraban en etapa final de tramitación y solo habrían requerido desembolsos fiscales de 800 mil UF en los próximos cuatro años, con los primeros pagos relevantes comenzando entre 2029 y 2030. La decisión generó duras críticas del gobernador del Biobío y de la industria de concesiones, que advirtieron sobre el riesgo para la confianza de inversores en infraestructura al revertir adjudicaciones en etapa tan avanzada.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Utilidad de Elecmetal sube 67,9% en el primer semestre impulsada por la venta de su participación en ESEL</w:t>
      </w:r>
    </w:p>
    <w:p>
      <w:pPr>
        <w:spacing w:before="40" w:after="60"/>
        <w:ind w:left="283"/>
      </w:pPr>
      <w:r>
        <w:rPr>
          <w:rFonts w:ascii="Arial" w:hAnsi="Arial"/>
          <w:color w:val="404040"/>
          <w:sz w:val="21"/>
        </w:rPr>
        <w:t>Elecmetal cerró el primer semestre de 2026 con una utilidad atribuible a controladores de $49.623 millones, un alza de 67,9%, explicada principalmente por la enajenación de su participación del 50% en ESEL, su joint venture con la escocesa The Weir Group para elementos de desgaste en minería sudamericana. Sin ese efecto extraordinario, el resultado operacional muestra una caída de $7.667 millones, atribuida a un tipo de cambio promedio 6,6% inferior al período anterior y mayores costos de flete e insumos por tensiones geopolíticas. Las ventas consolidadas cayeron 1,7% hasta $630.218 millones, aunque la deuda se redujo 9,2% gracias al desapalancamiento, lo que permitió recortar los costos financieros en 4,8%.</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Sectores productivos celebran sorpresiva alza de la actividad, pero plantean desafíos para el segundo semestre</w:t>
      </w:r>
    </w:p>
    <w:p>
      <w:pPr>
        <w:spacing w:before="40" w:after="60"/>
        <w:ind w:left="283"/>
      </w:pPr>
      <w:r>
        <w:rPr>
          <w:rFonts w:ascii="Arial" w:hAnsi="Arial"/>
          <w:color w:val="404040"/>
          <w:sz w:val="21"/>
        </w:rPr>
        <w:t>El Imacec de junio de 2,4% anual fue recibido positivamente por los principales gremios productivos, aunque con matices: el resultado estuvo liderado por minería (+9,8%), comercio (+5,4%) y servicios (+1,7%), mientras la industria acusó una caída de 0,7% anual. Sonami, CChC, Sofofa y CNC coincidieron en la necesidad de implementar pronto los artículos de la ley de reactivación y reconstrucción para dar certeza a la inversión, incluyendo la exención transitoria de IVA a viviendas nuevas y los beneficios del DFL2. La generación de empleo formal fue identificada como el desafío central del segundo semestre: mientras el mercado laboral no se recupere, el consumo seguirá avanzando de forma gradual.</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¿Cuánto empleo se llevará la IA? El Banco Mundial le pone cifras a los temores por el efecto laboral</w:t>
      </w:r>
    </w:p>
    <w:p>
      <w:pPr>
        <w:spacing w:before="40" w:after="60"/>
        <w:ind w:left="283"/>
      </w:pPr>
      <w:r>
        <w:rPr>
          <w:rFonts w:ascii="Arial" w:hAnsi="Arial"/>
          <w:color w:val="404040"/>
          <w:sz w:val="21"/>
        </w:rPr>
        <w:t>El Banco Mundial estimó en su Informe sobre el Desarrollo Mundial 2026 que el 14,2% de los empleos en países de ingresos altos —incluido Chile— están expuestos al riesgo de automatización por la IA generativa, tres veces más que en países de ingreso bajo y mediano (4,5%). Sin embargo, el mismo informe destaca que el 18,7% de los empleos en economías de altos ingresos podría aumentar significativamente su productividad gracias a la IA, y que los países en desarrollo tienen la oportunidad de acelerar décadas de desarrollo si actúan con rapidez para cerrar brechas en conectividad, energía, habilidades e instituciones. El organismo recomienda adoptar las herramientas disponibles y adaptarlas al contexto local, advirtiendo que la IA se expande más rápido y con mayor dependencia contextual que tecnologías anteriores como internet o la electricidad.</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Luis Riveros, exrector de la Universidad de Chile y su defensa a la invariabilidad tributaria: “El DL 600 estuvo vigente por 40 años... ¿Vivimos 40 años en la inconstitucionalidad?</w:t>
      </w:r>
    </w:p>
    <w:p>
      <w:pPr>
        <w:spacing w:before="40" w:after="60"/>
        <w:ind w:left="283"/>
      </w:pPr>
      <w:r>
        <w:rPr>
          <w:rFonts w:ascii="Arial" w:hAnsi="Arial"/>
          <w:color w:val="404040"/>
          <w:sz w:val="21"/>
        </w:rPr>
        <w:t>El economista entregó su respaldo a una de las principales medidas de la ley de reactivación y reconstrucción, señalando que países como Perú y Argentina tienen mecanismos similares. El economista Luis Riveros ve con buenos ojos la invariabilidad tributaria,uno de los principales mecanismos incluidos en la ley de reactivación y reconstrucción nacional y que es parte central del debate por su constitucionalidad. Tanto así, que la oposición levantó un requerimiento por inconstitucionalidad ante el Tribunal Constitucional (TC) por la norma.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Ley Karin: ocho de cada 10 consultas de atención temprana corresponden a acoso laboral</w:t>
      </w:r>
    </w:p>
    <w:p>
      <w:pPr>
        <w:spacing w:before="40" w:after="60"/>
        <w:ind w:left="283"/>
      </w:pPr>
      <w:r>
        <w:rPr>
          <w:rFonts w:ascii="Arial" w:hAnsi="Arial"/>
          <w:color w:val="404040"/>
          <w:sz w:val="21"/>
        </w:rPr>
        <w:t>Desde la entrada en vigencia de la Ley Karin en agosto de 2024 hasta junio de 2026, la ACHS recibió 32.522 requerimientos de atención psicológica temprana: el 81,2% por acoso laboral, 15,9% por violencia en el trabajo y 3% por acoso sexual, con una marcada concentración en mujeres (73,1%). Los sectores con más casos son comercio y retail (22,5%), educación (19,4%) y organismos gubernamentales (18,4%). El gobierno prepara un nuevo reglamento que incluirá herramientas para enfrentar denuncias falsas —con sanciones que van desde amonestación hasta despido— y mecanismos para derivar eficientemente las denuncias que no correspondan a acoso.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Seguridad y comercio: la agenda de Pérez Mackenna en Brasil</w:t>
      </w:r>
    </w:p>
    <w:p>
      <w:pPr>
        <w:spacing w:before="40" w:after="60"/>
        <w:ind w:left="283"/>
      </w:pPr>
      <w:r>
        <w:rPr>
          <w:rFonts w:ascii="Arial" w:hAnsi="Arial"/>
          <w:color w:val="404040"/>
          <w:sz w:val="21"/>
        </w:rPr>
        <w:t>El canciller Francisco Pérez Mackenna inició una visita de tres días a Brasil para profundizar la relación bilateral en seguridad y defensa, minería, energía, ciencia, cooperación antártica e inteligencia artificial, reuniéndose en Brasilia con su par Mauro Vieira. En São Paulo, la agenda incluye encuentros con el gobernador Tarcísio de Freitas, la Federación de Industrias (FIESP) y empresarios chilenos y brasileños para promover el comercio bilateral y la inversión en Chile. Un tema central será el avance del Corredor Bioceánico Vial que unirá los puertos del Atlántico y el Pacífico entre Argentina, Brasil, Paraguay y Chile.</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Cae alojamiento de turistas en junio y hoteleros piden más promoción para atraer visitantes</w:t>
      </w:r>
    </w:p>
    <w:p>
      <w:pPr>
        <w:spacing w:before="40" w:after="60"/>
        <w:ind w:left="283"/>
      </w:pPr>
      <w:r>
        <w:rPr>
          <w:rFonts w:ascii="Arial" w:hAnsi="Arial"/>
          <w:color w:val="404040"/>
          <w:sz w:val="21"/>
        </w:rPr>
        <w:t>Las pernoctaciones turísticas cayeron 3,4% anual en junio, con 1.429.414 pasajeros totales según el INE, concentrados principalmente en la Región Metropolitana (515.431, -6,6%) y con las caídas más pronunciadas en Arica y Parinacota (-21,2%), Magallanes (-16,3%) y Ñuble (-15,7%). La llegada de turistas extranjeros descendió 3,3% hasta 694.628 visitantes, la tasa de ocupación de habitaciones llegó a 35,5% y la estancia media promedió 2,06 noches. El presidente del gremio hotelero, Alberto Pirola, atribuyó la baja a la desaceleración económica y el consumo contenido de las familias, y llamó a fortalecer la promoción internacional para atraer turistas de mayor gasto.</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A tres meses de las elecciones de medio término de EEUU, Trump se encamina a perder el control del Congreso</w:t>
      </w:r>
    </w:p>
    <w:p>
      <w:pPr>
        <w:spacing w:before="40" w:after="60"/>
        <w:ind w:left="283"/>
      </w:pPr>
      <w:r>
        <w:rPr>
          <w:rFonts w:ascii="Arial" w:hAnsi="Arial"/>
          <w:color w:val="404040"/>
          <w:sz w:val="21"/>
        </w:rPr>
        <w:t>A tres meses de las elecciones de medio término en Estados Unidos, las encuestas muestran un escenario adverso para el Partido Republicano: en estados clave del Senado, los demócratas lideran en Georgia (Ossoff 50,8% vs. Collins 43,2%), Carolina del Norte (Cooper 50% vs. Whatley 42,4%) y Maine (Jackson 49% vs. Collins 46%), mientras Michigan y Ohio están prácticamente empatados. Los mercados de predicción, como Polymarket, reflejan probabilidades favorables para que los demócratas recuperen el control de al menos una cámara del Congreso. El artículo presenta datos de intención de voto general y mapas interactivos por estado, aunque el análisis narrativo es acotado.</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Gobierno evalúa postergar la entrada en vigencia de la Ley de Protección de Datos Personales</w:t>
      </w:r>
    </w:p>
    <w:p>
      <w:pPr>
        <w:spacing w:before="40" w:after="60"/>
        <w:ind w:left="283"/>
      </w:pPr>
      <w:r>
        <w:rPr>
          <w:rFonts w:ascii="Arial" w:hAnsi="Arial"/>
          <w:color w:val="404040"/>
          <w:sz w:val="21"/>
        </w:rPr>
        <w:t>El gobierno evalúa postergar la entrada en vigencia de la Ley de Protección de Datos Personales, cuyo inicio está fijado para el 1 de diciembre de 2026, principalmente porque el Senado rechazó en mayo la terna propuesta para el Consejo Directivo de la Agencia de Protección de Datos y venció en junio el plazo legal para su designación. El Ejecutivo ingresaría esta semana al Congreso una moción que podría retrasar toda la ley o solo el funcionamiento de la Agencia, e incluiría la nómina de tres consejeros con una excepción que les permitiría no tener dedicación exclusiva en el período previo a la vigencia de la ley. La ley, aprobada en 2024, establece multas de hasta UTM 20 mil (~$1.400 millones) y eleva los estándares de protección de datos personales al nivel del GDPR europeo.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Ministra Lincolao revela incumplimiento de un 14% en Becas Chile y plantea ajustes al programa</w:t>
      </w:r>
    </w:p>
    <w:p>
      <w:pPr>
        <w:spacing w:before="40" w:after="60"/>
        <w:ind w:left="283"/>
      </w:pPr>
      <w:r>
        <w:rPr>
          <w:rFonts w:ascii="Arial" w:hAnsi="Arial"/>
          <w:color w:val="404040"/>
          <w:sz w:val="21"/>
        </w:rPr>
        <w:t>La ministra de Ciencia Ximena Lincolao reveló ante la Cámara que de las 12.589 becas otorgadas desde 2008, un 14% (más de 1.600 personas) está en incumplimiento de compromisos por un total de $92 mil millones, con los mayores incumplimientos en doctorado (52,7%) y magíster (37,7%). Además, advirtió sobre un riesgo potencial adicional de $481 mil millones en becas actualmente en proceso de gracia, retribución o cierre. Para abordar la situación, el gobierno propone cinco ejes: alinear áreas con la demanda laboral, evaluar la incorporación de egresados de CFT, modernizar procesos para bloquear acceso a deudores del Estado, medir movilidad socioeconómica y priorizar becas nacionales.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Empresas en Chile no logran escalar la IA por falta de gobernanza, datos centralizados y brechas de gestión</w:t>
      </w:r>
    </w:p>
    <w:p>
      <w:pPr>
        <w:spacing w:before="40" w:after="60"/>
        <w:ind w:left="283"/>
      </w:pPr>
      <w:r>
        <w:rPr>
          <w:rFonts w:ascii="Arial" w:hAnsi="Arial"/>
          <w:color w:val="404040"/>
          <w:sz w:val="21"/>
        </w:rPr>
        <w:t>Un índice elaborado por la CCS, Corfo y PMG Chile, basado en 740 empresas de todos los sectores y tamaños, determinó que solo el 8% de las empresas chilenas está en fase de escalamiento de IA y apenas el 1% en liderazgo, mientras el 66% está en pilotaje y el 25% en exploración. El principal cuello de botella no es la tecnología sino la gobernanza: el 85% no tiene comité formal de IA, el 69% carece de repositorio centralizado de datos y el 79% no mide el retorno de sus iniciativas. Los sectores más maduros son TIC, servicios financieros, servicios empresariales y minería, mientras comercio, transporte, hoteles y restaurantes son los más rezagados; por contraste, el MIT CISR registró en 2025 que el 64% de las empresas globales ya estaba en fase de escalamiento o liderazgo.</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IMACEC: PRIMERA BUENA SEÑAL</w:t>
      </w:r>
    </w:p>
    <w:p>
      <w:pPr>
        <w:spacing w:before="40" w:after="60"/>
        <w:ind w:left="283"/>
      </w:pPr>
      <w:r>
        <w:rPr>
          <w:rFonts w:ascii="Arial" w:hAnsi="Arial"/>
          <w:color w:val="404040"/>
          <w:sz w:val="21"/>
        </w:rPr>
        <w:t>El editorial reconoce el Imacec de junio (2,4% anual) como una señal alentadora tras cinco meses consecutivos de contracción, que superó ampliamente la proyección de mercado de 1,2% y representó el primer resultado positivo desde diciembre de 2025, impulsado por minería, comercio y servicios. Sin embargo, advierte que no debe interpretarse como el inicio asegurado de una recuperación: la inflación proyectada en 4% supera la meta del Banco Central, lo que aleja cualquier recorte de tasa de política monetaria en lo que resta del año. La sostenibilidad dependerá de que las señales de junio se repitan mes a mes, que la inversión responda a los estímulos de la Ley de Reconstrucción y que el pesimismo que domina a hogares y empresas empiece a revertirse.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Midiendo el éxito de la IA</w:t>
      </w:r>
    </w:p>
    <w:p>
      <w:pPr>
        <w:spacing w:before="40" w:after="60"/>
        <w:ind w:left="283"/>
      </w:pPr>
      <w:r>
        <w:rPr>
          <w:rFonts w:ascii="Arial" w:hAnsi="Arial"/>
          <w:color w:val="404040"/>
          <w:sz w:val="21"/>
        </w:rPr>
        <w:t>La columna argumenta que las métricas habituales para evaluar la IA —tiempo ahorrado, productividad y reducción de costos— son importantes pero insuficientes porque omiten dimensiones cualitativas como la calidad de las conversaciones, el criterio de los equipos y la capacidad de detectar problemas que aún no aparecen en los datos. El riesgo de medir solo la eficiencia es pasar por alto lo que realmente sostiene a una organización: la confianza, el liderazgo y el juicio humano que ninguna tecnología reemplaza. El autor invita a las organizaciones a preguntarse no solo cuánto las hace más eficientes la IA, sino qué están dejando de medir.</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Una norma para nutracéuticos</w:t>
      </w:r>
    </w:p>
    <w:p>
      <w:pPr>
        <w:spacing w:before="40" w:after="60"/>
        <w:ind w:left="283"/>
      </w:pPr>
      <w:r>
        <w:rPr>
          <w:rFonts w:ascii="Arial" w:hAnsi="Arial"/>
          <w:color w:val="404040"/>
          <w:sz w:val="21"/>
        </w:rPr>
        <w:t>La columna plantea la tensión regulatoria en torno a la creatina: un estudio de UCLA la asoció con la activación de defensas inmunitarias contra el cáncer, lo que bajo la normativa chilena actual podría clasificarla como medicamento —con todos sus exigentes requisitos— en lugar de tratarla como nutracéutico con estándares más accesibles. El autor, exdirector del ISP, argumenta que sin una regulación específica para nutracéuticos, los descubrimientos científicos sobre estas sustancias no pueden traducirse en productos distribuibles de forma amplia y asequible. La ausencia de esa categoría regulatoria impide convertir el conocimiento en bienestar, crecimiento económico e inversión.</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El arancel es el síntoma</w:t>
      </w:r>
    </w:p>
    <w:p>
      <w:pPr>
        <w:spacing w:before="40" w:after="60"/>
        <w:ind w:left="283"/>
      </w:pPr>
      <w:r>
        <w:rPr>
          <w:rFonts w:ascii="Arial" w:hAnsi="Arial"/>
          <w:color w:val="404040"/>
          <w:sz w:val="21"/>
        </w:rPr>
        <w:t>La columna sostiene que el arancel del 12,5% de EEUU a productos chilenos es apenas el síntoma de un cambio estructural mayor: el orden multilateral de comercio basado en reglas de la OMC ya no opera en los mismos términos, pues las potencias subordinan esas reglas a prioridades de seguridad económica, protección industrial e interés nacional. Chile, que construyó su estrategia de desarrollo sobre ese orden —con tratados de libre comercio como pilares—, no puede defenderlo como si todos los actores lo interpretaran igual que antes. El autor concluye que la política exterior chilena debe asumir que comercio, seguridad y poder global forman parte de una misma realidad geopolítica.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Más transparencia para proteger los ahorros previsionales</w:t>
      </w:r>
    </w:p>
    <w:p>
      <w:pPr>
        <w:spacing w:before="40" w:after="60"/>
        <w:ind w:left="283"/>
      </w:pPr>
      <w:r>
        <w:rPr>
          <w:rFonts w:ascii="Arial" w:hAnsi="Arial"/>
          <w:color w:val="404040"/>
          <w:sz w:val="21"/>
        </w:rPr>
        <w:t>La columna advierte que la reciente autorización de gestoras de capital privado para invertir los ahorros previsionales exige una discusión más profunda, dado que los activos alternativos implican riesgos específicos: menor liquidez, comisiones, concentración y complejidades de valorización bajo metodologías NIIF 13 Nivel 3 con variables no observables en mercados activos. El autor solicita que el regulador previsional explique públicamente sus criterios para autorizar nuevas alternativas de inversión y cómo supervisará sus valorizaciones, comisiones y desempeño. La búsqueda de mayor rentabilidad para los fondos de pensiones debe ir acompañada de máxima transparencia, dado que los ahorros previsionales son el patrimonio de millones de personas.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La gran revancha del FUT</w:t>
      </w:r>
    </w:p>
    <w:p>
      <w:pPr>
        <w:spacing w:before="40" w:after="60"/>
        <w:ind w:left="283"/>
      </w:pPr>
      <w:r>
        <w:rPr>
          <w:rFonts w:ascii="Arial" w:hAnsi="Arial"/>
          <w:color w:val="404040"/>
          <w:sz w:val="21"/>
        </w:rPr>
        <w:t>La columna señala que con la aprobación de la integración total del sistema tributario, el Fondo de Utilidades Tributables (FUT) resurge en la práctica como mecanismo clave, aunque en los hechos nunca desapareció: fue reemplazado por nuevos registros (RAI, SAC y REX) que cumplen la misma función de controlar utilidades acumuladas pendientes de tributación con impuestos finales. Con la integración plena, el FUT vuelve al protagonismo como herramienta que evita la doble tributación económica y favorece la reinversión de utilidades, elemento que el autor considera indispensable para impulsar el crecimiento. La historia termina siendo curiosa: lo que durante años se presentó como un rezago del pasado reaparece hoy como pieza clave de una nueva etapa de desarrollo económico.</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La “reconstrucción” eléctrica</w:t>
      </w:r>
    </w:p>
    <w:p>
      <w:pPr>
        <w:spacing w:before="40" w:after="60"/>
        <w:ind w:left="283"/>
      </w:pPr>
      <w:r>
        <w:rPr>
          <w:rFonts w:ascii="Arial" w:hAnsi="Arial"/>
          <w:color w:val="404040"/>
          <w:sz w:val="21"/>
        </w:rPr>
        <w:t>El gobierno anterior optó por esconder la deuda con las distribuidoras eléctricas debajo de la alfombra. La aprobación de la nueva ley de protección tarifaria, representa un triunfo de la responsabilidad frente a la negligencia. Esta norma muestra que es posible saldar deudas, otorgar certezas al mercado y proteger a la clase media, sin recurrir a un gasto fiscal que Chile hoy no se puede permitir. La ley estabiliza el sistema sin alzas violentas en las cuentas y sin asumir pasivos que hipotequen el presupuesto de urgencias sociales. El proyecto marca un estándar al garantizar que el subsidio cubra íntegramente las necesidades de las personas electrodependientes. Además, consagra un freno a los abusos: las distribuidoras no podrán financiar el pago de sus compensaciones por cortes de luz mediante sobrecobros en las tarifas reguladas. Si fallan, deberán responder con su propio patrimonio. Esta ley es la prueba de que la protección ciudadana real y la responsabilidad política son la única vía para solucionar los problemas que heredó el actual gobierno.</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4 de agosto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