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13 De Mayo De 2026</w:t>
      </w:r>
    </w:p>
    <w:p>
      <w:pPr>
        <w:jc w:val="center"/>
      </w:pPr>
      <w:r>
        <w:rPr>
          <w:rFonts w:ascii="Arial" w:hAnsi="Arial"/>
          <w:color w:val="999999"/>
          <w:sz w:val="20"/>
        </w:rPr>
        <w:t>6 secciones  ·  30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 chilena abre en rojo y el IPSA pierde los 10.500 puntos tras masivo aumento de los precios al productor estadounidenses</w:t>
      </w:r>
    </w:p>
    <w:p>
      <w:pPr>
        <w:spacing w:before="40" w:after="60"/>
        <w:ind w:left="283"/>
      </w:pPr>
      <w:r>
        <w:rPr>
          <w:rFonts w:ascii="Arial" w:hAnsi="Arial"/>
          <w:color w:val="404040"/>
          <w:sz w:val="21"/>
        </w:rPr>
        <w:t>El S&amp;P IPSA retrocedía 1,4% a 10.496,44 puntos este miércoles, afectado principalmente por SQM-B (-4,5%) y acciones sensibles al conflicto en Medio Oriente como Falabella, Cencosud y Latam. El detonante fue el IPP de EEUU de abril, cuyo índice principal subió 1,4% mensual y la serie núcleo avanzó 1%, más del doble de lo esperado por el consenso. Los mercados también se mantienen expectantes ante la cumbre Trump-Xi, que comenzará el jueves en Beijing y girará en torno a la extensión de la tregua arancelaria y la postura de China sobre el conflicto con Irán.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profundiza su caída a $ 890 tras nuevo récord del cobre y pese a sorpresa al alza en precios al productor de EEUU</w:t>
      </w:r>
    </w:p>
    <w:p>
      <w:pPr>
        <w:spacing w:before="40" w:after="60"/>
        <w:ind w:left="283"/>
      </w:pPr>
      <w:r>
        <w:rPr>
          <w:rFonts w:ascii="Arial" w:hAnsi="Arial"/>
          <w:color w:val="404040"/>
          <w:sz w:val="21"/>
        </w:rPr>
        <w:t>El dólar cayó $7,2 hasta $890,1 en la apertura del miércoles, sostenido por el cobre Comex que escaló 1,6% a US$6,63 por libra tras marcar un máximo intradiario histórico de US$6,69. BBVA inició una posición bajista en el dólar-peso con objetivo en $858, argumentando el rally del metal rojo, la agenda pronegocios del gobierno y una eventual política monetaria más restrictiva del Banco Central. A pesar de que los precios al productor de EEUU superaron ampliamente las estimaciones y el dollar index se fortaleció 0,3%, el cobre actuó como escudo para el peso chileno frente a las presiones externas.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Filial de pagos de Banco de Chile estrena nuevo gerente general y exCEO arriba a Itaú</w:t>
      </w:r>
    </w:p>
    <w:p>
      <w:pPr>
        <w:spacing w:before="40" w:after="60"/>
        <w:ind w:left="283"/>
      </w:pPr>
      <w:r>
        <w:rPr>
          <w:rFonts w:ascii="Arial" w:hAnsi="Arial"/>
          <w:color w:val="404040"/>
          <w:sz w:val="21"/>
        </w:rPr>
        <w:t>Banchile Pagos, la filial de adquirencia lanzada por Banco de Chile a fines de 2025, designó a Felipe Pérez como su nuevo gerente general, quien reemplaza a Rodrigo Devía tras 18 años en el grupo. Pérez, ingeniero comercial con 25 años de carrera en el banco, proviene de la gerencia de canales y negocios, mientras que Devía asumirá como gerente de productos de la banca de empresas de Itaú. Desde su debut, Banchile Pagos ha enrolado cerca de 6.800 comercios, desplegado más de 7.800 smart POS y procesado más de 4,7 millones de transacciones, con la meta de alcanzar 150 mil comercios en tres años.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 oferta mundial de petróleo no cubrirá la demanda este año, alerta la AIE sobre el impacto de los estragos por la guerra en Medio Oriente</w:t>
      </w:r>
    </w:p>
    <w:p>
      <w:pPr>
        <w:spacing w:before="40" w:after="60"/>
        <w:ind w:left="283"/>
      </w:pPr>
      <w:r>
        <w:rPr>
          <w:rFonts w:ascii="Arial" w:hAnsi="Arial"/>
          <w:color w:val="404040"/>
          <w:sz w:val="21"/>
        </w:rPr>
        <w:t>La Agencia Internacional de Energía advirtió que el suministro mundial de crudo será 1,78 millones de barriles diarios inferior a la demanda en 2026, un giro radical frente al superávit de 410.000 barriles diarios proyectado el mes anterior. Las pérdidas acumuladas de producción en el Golfo Pérsico ya superan los 1.000 millones de barriles, con más de 14 millones de barriles diarios retenidos por el cierre del estrecho de Ormuz. La AIE también revisó al alza la caída de la oferta esperada para el año, de 1,5 a 3,9 millones de barriles diarios, mientras proyecta que la demanda descenderá 420.000 barriles diarios por destrucción asociada al alza de precios.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Cobre llega a su nivel más alto de la historia y Cochilco celebra los US$ 6,29 por libra precio contado</w:t>
      </w:r>
    </w:p>
    <w:p>
      <w:pPr>
        <w:spacing w:before="40" w:after="60"/>
        <w:ind w:left="283"/>
      </w:pPr>
      <w:r>
        <w:rPr>
          <w:rFonts w:ascii="Arial" w:hAnsi="Arial"/>
          <w:color w:val="404040"/>
          <w:sz w:val="21"/>
        </w:rPr>
        <w:t>El precio spot del cobre en la Bolsa de Metales de Londres alcanzó US$6,29 la libra el martes, superando el récord previo de enero, mientras el contrato Comex marcó un máximo intradiario de US$6,69 la libra. El alza es impulsada por escasez de oferta —la producción chilena registró en marzo su peor nivel desde 2017, con 431.200 toneladas y una caída de 9% interanual— y por señales de recuperación de la demanda en China y el auge tecnológico vinculado a la IA. El biministro de Economía y Minería destacó la buena noticia para la economía y la cartera de proyectos mineros por sobre US$100.000 millones, aunque analistas advierten que precios sobre US$6 por libra podrían incentivar la sustitución de cobre por aluminio en algunas industrias.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Cabezón anuncia indicaciones al proyecto que traspasa administración del Seguro de Invalidez y Sobrevivencia al FAPP</w:t>
      </w:r>
    </w:p>
    <w:p>
      <w:pPr>
        <w:spacing w:before="40" w:after="60"/>
        <w:ind w:left="283"/>
      </w:pPr>
      <w:r>
        <w:rPr>
          <w:rFonts w:ascii="Arial" w:hAnsi="Arial"/>
          <w:color w:val="404040"/>
          <w:sz w:val="21"/>
        </w:rPr>
        <w:t>La subsecretaria de Previsión Social, Elisa Cabezón, anunció indicaciones al proyecto que transfiere la administración del Seguro de Invalidez y Sobrevivencia (SIS) desde las AFP al Fondo Autónomo de Protección Previsional (FAPP), abordando principalmente el tratamiento de las reservas especiales que cubren siniestros declarados hasta seis años después del término de cada contrato. Una de las modificaciones analizadas consiste en no traspasar de inmediato esas reservas al FAPP, evitando que las AFP deban cubrir siniestros sin los recursos destinados a ello, mientras la otra apunta a ajustar las atribuciones entregadas al IPS, cuya expansión implicaría mayor gasto público. El presidente de la Comisión de Hacienda del Senado, Javier Macaya, instó a ingresar prontamente las indicaciones ante la cargada agenda legislativa prevista.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Asesor de Constructora Oval advierte que empresas más expuesta a vivienda social “pueden verse muy, muy complicadas" por recorte al subsidio DS49</w:t>
      </w:r>
    </w:p>
    <w:p>
      <w:pPr>
        <w:spacing w:before="40" w:after="60"/>
        <w:ind w:left="283"/>
      </w:pPr>
      <w:r>
        <w:rPr>
          <w:rFonts w:ascii="Arial" w:hAnsi="Arial"/>
          <w:color w:val="404040"/>
          <w:sz w:val="21"/>
        </w:rPr>
        <w:t>Roberto Darrigrandi señala que si los próximos llamados no compensan la reducción “a fin de año o principios del próximo año” podrían comenzar a evidenciarse mayores problemas financieros en empresas ligadas al segmento. El Ministerio de Vivienda y Urbanismo (Minvu) publicó el 5 de mayo la Resolución Exenta N°685, convocando alllamado 2026 para el Decreto Supremo 49 (DS49), un subsidio habitacional enfocado en las familias más vulnerable. Los recursos disponibles para la iniciativa, sin embargo, sintieron todo el impacto del ajuste fiscal, con unrecorte de casi 60%, pasando de UF 17,08 millones en 2025 a UF 6,86 millones este año. Aunque la rebaja afecta a todas las regiones, el análisis comparativo muestra que las caídas más pronunciadas se concentraron en Biobío, que perdió 72% de sus fondos, Los Ríos (71,9%), Tarapacá (71,5%) y Antofagasta (71%), mientras que la Región Metropolitana vio una disminución de 73,4%.</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Generadoras de Chile, Consejo Minero y Asociación de Generación Renovable arremeten por ofensiva PMGD: "Gozan de un subsidio cruzado que pagan todos los chilenos"</w:t>
      </w:r>
    </w:p>
    <w:p>
      <w:pPr>
        <w:spacing w:before="40" w:after="60"/>
        <w:ind w:left="283"/>
      </w:pPr>
      <w:r>
        <w:rPr>
          <w:rFonts w:ascii="Arial" w:hAnsi="Arial"/>
          <w:color w:val="404040"/>
          <w:sz w:val="21"/>
        </w:rPr>
        <w:t>Generadoras de Chile, el Consejo Minero y la Asociación de Generación Renovable (AGR) enviaron cartas separadas a la ministra de Energía, Ximena Rincón, rechazando los intentos de empresas PMGD de frenar la entrada en vigor de los Decretos N°88 y N°125, que modernizarían la regulación de estos generadores. Los gremios argumentan que el régimen actual permite a los PMGD acogerse a un mecanismo de estabilización de precios que les garantiza ingresos muy superiores a los demás generadores, constituyendo un subsidio cruzado que pagan todos los consumidores; el Consejo Minero cifró en US$700 millones el mayor costo sistémico acumulado, que implica costos energéticos 26% más altos que en Perú. La AGR alertó sobre la intensa presión de fondos de inversión internacionales sobre las instituciones chilenas para bloquear los cambios, instando al ministerio a sostener el curso regulatorio con base en criterios técnicos.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Cómo quedaron las normas para bajar el precio de la vivienda tras las nuevas indicaciones del Ejecutivo</w:t>
      </w:r>
    </w:p>
    <w:p>
      <w:pPr>
        <w:spacing w:before="40" w:after="60"/>
        <w:ind w:left="283"/>
      </w:pPr>
      <w:r>
        <w:rPr>
          <w:rFonts w:ascii="Arial" w:hAnsi="Arial"/>
          <w:color w:val="404040"/>
          <w:sz w:val="21"/>
        </w:rPr>
        <w:t>Las indicaciones del Ejecutivo al proyecto de reconstrucción introdujeron ajustes técnicos —no cambios de fondo— en tres materias relacionadas con la vivienda: la exención temporal de IVA (ahora limitada a proyectos con recepción definitiva), modificaciones al régimen DFL 2 (que hacen voluntaria la tributación bajo el impuesto único de 5% para arriendos desde la tercera propiedad e incorporan bodegas y estacionamientos), y la exención de contribuciones para la primera vivienda de mayores de 65 años. Según el experto Ignacio Aravena, el cambio más relevante es el carácter optativo del DFL 2, que entrega mayor flexibilidad a distintos perfiles de inversionistas pequeños y grandes. El académico coincide con el gobierno en que las modificaciones buscan delimitar técnicamente el acceso a los beneficios sin alterar su impacto estructural.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Sector privado valora cambios en directrices ambientales, pero advierte riesgos</w:t>
      </w:r>
    </w:p>
    <w:p>
      <w:pPr>
        <w:spacing w:before="40" w:after="60"/>
        <w:ind w:left="283"/>
      </w:pPr>
      <w:r>
        <w:rPr>
          <w:rFonts w:ascii="Arial" w:hAnsi="Arial"/>
          <w:color w:val="404040"/>
          <w:sz w:val="21"/>
        </w:rPr>
        <w:t>El sector privado valoró los cambios a la Ley 19.300 incluidos en el proyecto misceláneo, especialmente las medidas que excluyen proyectos muy pequeños del proceso de calificación ambiental, acotan plazos de resolución y reducen la discrecionalidad del Estado para solicitar información adicional. El gremio Acades destacó que las modificaciones buscan corregir la excesiva demora de la justicia ambiental y la asimetría de riesgos entre titulares de proyectos y reclamantes, aunque propone usar seguros voluntarios en lugar del mecanismo de restitución fiscal propuesto. El sector eléctrico advirtió que persisten dudas sobre qué gastos entran en la contabilidad de la restitución, y una empresa alertó sobre un posible incentivo perverso para ejecutar proyectos deficientes con el fin de aprovechar el mecanismo.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Expertos mineros que alertaron por cifras de diciembre de Codelco advierten “riesgo reputacional para la estatal y la minería chilena”</w:t>
      </w:r>
    </w:p>
    <w:p>
      <w:pPr>
        <w:spacing w:before="40" w:after="60"/>
        <w:ind w:left="283"/>
      </w:pPr>
      <w:r>
        <w:rPr>
          <w:rFonts w:ascii="Arial" w:hAnsi="Arial"/>
          <w:color w:val="404040"/>
          <w:sz w:val="21"/>
        </w:rPr>
        <w:t>Álvaro Merino y Juan Carlos Guajardo destacaron que el episodio de las cifras, sumado al ocultamiento de información en El Teniente son dos golpes que ponen en juego la credibilidad de la compañía. Dos de los destacados expertos mineros quecuestionaron las cifras de producción de diciembre de Codelco-que aumentaron 41% comparadas con noviembre-, fueronJuan Carlos Guajardo, director ejecutivo de Plusmining, y Álvaro Merino, director ejecutivo de Núcleo Minero. Ambos, a la luz delinforme preliminar de la auditoría interna que arrojó incumplimientos que llevaron a una sobreestimación, concuerdan en que la situación impacta de lleno en la reputación de la cuprera. “Desde el punto de vista personal, tal vez no estoy tan sorprendido, sin embargo,no dejo de estar conmovido, porque las consecuencias de esta situación son serias”, comenta a DF el fundador de Plusmining. “Hay un riesgo reputacional importante para Codelco y la minería chilena”.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Fonasa declara desierta la licitación de la Modalidad de Cobertura Complementaria por segunda vez</w:t>
      </w:r>
    </w:p>
    <w:p>
      <w:pPr>
        <w:spacing w:before="40" w:after="60"/>
        <w:ind w:left="283"/>
      </w:pPr>
      <w:r>
        <w:rPr>
          <w:rFonts w:ascii="Arial" w:hAnsi="Arial"/>
          <w:color w:val="404040"/>
          <w:sz w:val="21"/>
        </w:rPr>
        <w:t>Fonasa declaró desierta por segunda vez la licitación de la Modalidad de Cobertura Complementaria (MCC), tras recibir ofertas solo por una de las siete fracciones de riesgo exigidas —adjudicada inicialmente a Zurich—, siendo inviable la adjudicación parcial según las bases del proceso. La MCC había sido mandatada por la Ley corta de isapres para ofrecer un seguro complementario voluntario a cotizantes del Fondo, como respuesta a la crisis del sistema privado de salud. El Ministerio de Salud instruyó a Fonasa iniciar una etapa de revisión para diagnosticar los factores que limitaron el interés del mercado asegurador y proponer un nuevo modelo que permita implementar el mandato legal.</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Ley de reactivación: Hacienda reordena el informe financiero y asume mayor déficit en primeros años</w:t>
      </w:r>
    </w:p>
    <w:p>
      <w:pPr>
        <w:spacing w:before="40" w:after="60"/>
        <w:ind w:left="283"/>
      </w:pPr>
      <w:r>
        <w:rPr>
          <w:rFonts w:ascii="Arial" w:hAnsi="Arial"/>
          <w:color w:val="404040"/>
          <w:sz w:val="21"/>
        </w:rPr>
        <w:t>El Ministerio de Hacienda ingresó indicaciones al proyecto de reconstrucción y reactivación que implican un mayor déficit fiscal en el horizonte 2026-2031: el impacto neto para 2026 pasa de -0,09% a -0,20% del PIB, y en 2027 de -0,26% a -0,37%. Las modificaciones incluyen ajustes a la moratoria de ingreso a la gratuidad universitaria, más cupos de incentivo al retiro de funcionarios, cambios al régimen DFL 2 con incorporación de bodegas y estacionamientos, y la creación de un Fondo de Propiedad Intelectual. En paralelo, la comisión de Hacienda de la Cámara inició la discusión particular del proyecto en un clima de tensión, donde la presentación de una indicación sustitutiva por el Ejecutivo dejó inadmisibles miles de enmiendas de la oposición, con amenazas de recurso al Tribunal Constitucional.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veredicto de economistas y abogados a las indicaciones a ley miscelánea: más claridad para el proyecto, pero sin concluir debate fiscal</w:t>
      </w:r>
    </w:p>
    <w:p>
      <w:pPr>
        <w:spacing w:before="40" w:after="60"/>
        <w:ind w:left="283"/>
      </w:pPr>
      <w:r>
        <w:rPr>
          <w:rFonts w:ascii="Arial" w:hAnsi="Arial"/>
          <w:color w:val="404040"/>
          <w:sz w:val="21"/>
        </w:rPr>
        <w:t>Economistas y abogados tributarios valoraron las indicaciones al proyecto de reactivación por su carácter técnico y aclaratorio, destacando avances en invariabilidad tributaria y precisiones vinculadas a la Resolución de Calificación Ambiental en respuesta a observaciones de la Corte Suprema. Sin embargo, existe consenso en que el debate fiscal no queda cerrado: el déficit estructural se mantiene en torno al 0,57% del PIB, levemente superior al original, y los supuestos de crecimiento siguen siendo considerados optimistas por organismos como el FMI. Expertos de PwC advierten que la combinación de rebajas tributarias, reintegración e invariabilidad hace ese déficit más permanente y dependiente de que el crecimiento proyectado efectivamente se materialice.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Gremios rechazan enmienda del gobierno a Ley de Propiedad Intelectual</w:t>
      </w:r>
    </w:p>
    <w:p>
      <w:pPr>
        <w:spacing w:before="40" w:after="60"/>
        <w:ind w:left="283"/>
      </w:pPr>
      <w:r>
        <w:rPr>
          <w:rFonts w:ascii="Arial" w:hAnsi="Arial"/>
          <w:color w:val="404040"/>
          <w:sz w:val="21"/>
        </w:rPr>
        <w:t>La indicación sustitutiva al artículo 8 del proyecto de reconstrucción amplía la excepción al derecho de autor para permitir el uso de obras sin autorización ni remuneración con fines de entrenamiento, desarrollo o despliegue de modelos de inteligencia artificial, e introduce un Fondo de Promoción de la Propiedad Intelectual financiado con mínimo UTM 70.000 anuales (más de US$5 millones). La Asociación Nacional de la Prensa, cinco gremios del arte y el cine, y la SCD rechazaron la propuesta al considerar que agrava los problemas del texto original: elimina el mecanismo de opt-out presente en la normativa europea, amplía la excepción respecto a la versión inicial y crea un fondo cuyos recursos no irían directamente a los creadores afectados. En el plano internacional, el Tribunal de Justicia de la UE validó simultáneamente el derecho de los editores de prensa a percibir remuneración justa cuando plataformas como Meta utilicen sus publicaciones.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Reajuste del salario mínimo da su primer paso en el Congreso tras mejora anunciada por el gobierno a la propuesta inicial</w:t>
      </w:r>
    </w:p>
    <w:p>
      <w:pPr>
        <w:spacing w:before="40" w:after="60"/>
        <w:ind w:left="283"/>
      </w:pPr>
      <w:r>
        <w:rPr>
          <w:rFonts w:ascii="Arial" w:hAnsi="Arial"/>
          <w:color w:val="404040"/>
          <w:sz w:val="21"/>
        </w:rPr>
        <w:t>El gobierno cedió a la presión transversal de diputados e ingresó una indicación para elevar el reajuste del salario mínimo de 1,4% a 2,7%, incorporando el IPC de abril al cálculo y llevando el sueldo mínimo a $553.000 a partir de mayo. La comisión de Trabajo de la Cámara aprobó el proyecto en general y en particular, despachándolo a la comisión de Hacienda, aunque el debate estuvo marcado por cuestionamientos de la oposición al enfoque del Ejecutivo, que el diputado Luis Cuello (PC) calificó de «empresarial» por vincular el salario mínimo a la destrucción de empleo. El Ejecutivo también ingresó una indicación para mover el calendario de discusión del 1 de abril al 1 de mayo, a fin de poder incorporar el IPC de ese mes en futuros cálculos.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Mercado baja previsión de PIB a 2% para el año y ratifica expectativa de una inflación sobre 4%</w:t>
      </w:r>
    </w:p>
    <w:p>
      <w:pPr>
        <w:spacing w:before="40" w:after="60"/>
        <w:ind w:left="283"/>
      </w:pPr>
      <w:r>
        <w:rPr>
          <w:rFonts w:ascii="Arial" w:hAnsi="Arial"/>
          <w:color w:val="404040"/>
          <w:sz w:val="21"/>
        </w:rPr>
        <w:t>La Encuesta de Expectativas Económicas del Banco Central redujo de 2,1% a 2,0% la proyección de crecimiento del PIB para 2026, en un contexto donde el mercado anticipa que el Imacec de abril habrá crecido solo 0,1% interanual y el segundo trimestre cerraría con un alza de 1,4%. La inflación esperada a fin de año se mantiene en 4,3%, por encima del 4% proyectado por la autoridad, con una TPM estable en 4,5% durante todo 2026 y la primera baja proyectada recién en 17 meses más. En materia de inversión, la formación bruta de capital se proyecta con un alza de 4,2% para este año, moderándose a 4% en 2027.</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Defensoría del Contribuyente levanta alerta al detectar doble cobro del nuevo IVA a las importaciones</w:t>
      </w:r>
    </w:p>
    <w:p>
      <w:pPr>
        <w:spacing w:before="40" w:after="60"/>
        <w:ind w:left="283"/>
      </w:pPr>
      <w:r>
        <w:rPr>
          <w:rFonts w:ascii="Arial" w:hAnsi="Arial"/>
          <w:color w:val="404040"/>
          <w:sz w:val="21"/>
        </w:rPr>
        <w:t>La Defensoría del Contribuyente (Dedecon) detectó más de 30.000 importaciones afectadas por un doble cobro de IVA y aranceles bajo el nuevo régimen vigente desde octubre de 2025, que reemplazó la exención previa de hasta US$41 por paquete. El problema surge cuando compradores en plataformas digitales inscritas en el SII ya pagaron el IVA al operador, pero Aduanas exige un nuevo cobro sin reconocer el pago previo, impidiendo al importador acreditar la retención ya realizada. La Dedecon recomendó implementar un procedimiento administrativo de verificación cruzada entre el SII y Aduanas, señalando que la falla actual traslada cargas indebidas al contribuyente que ya cumplió íntegramente con las exigencias legales.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 guerra con Irán ensombrece el futuro de los vuelos low cost</w:t>
      </w:r>
    </w:p>
    <w:p>
      <w:pPr>
        <w:spacing w:before="40" w:after="60"/>
        <w:ind w:left="283"/>
      </w:pPr>
      <w:r>
        <w:rPr>
          <w:rFonts w:ascii="Arial" w:hAnsi="Arial"/>
          <w:color w:val="404040"/>
          <w:sz w:val="21"/>
        </w:rPr>
        <w:t>La guerra con Irán ha provocado la duplicación del precio del combustible para aviones —del cual cerca del 40% del suministro europeo transita por el estrecho de Ormuz—, generando cancelaciones masivas de vuelos, la quiebra de Spirit Airlines y fuertes presiones financieras sobre aerolíneas de bajo costo en todo el mundo. Analistas de Barclays y ejecutivos de Lufthansa, AirAsia e IAG anticipan una ola de quiebras y fusiones, con aerolíneas como Wizz Air en la mira de los inversores y la salida anticipada de flotas antiguas como el A380 y el Boeing 747-400. Expertos advierten que la era de los vuelos baratos podría estar llegando a su fin estructural: a medida que suban las tarifas por el combustible, las aerolíneas premium reducirán rutas cortas y las low cost quedarán libres para subir precios sin competencia.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“Dividendo ciudadano” derivado del boom de la IA: el debate que se instala en Corea del Sur</w:t>
      </w:r>
    </w:p>
    <w:p>
      <w:pPr>
        <w:spacing w:before="40" w:after="60"/>
        <w:ind w:left="283"/>
      </w:pPr>
      <w:r>
        <w:rPr>
          <w:rFonts w:ascii="Arial" w:hAnsi="Arial"/>
          <w:color w:val="404040"/>
          <w:sz w:val="21"/>
        </w:rPr>
        <w:t>Kim Yong-beom, jefe de políticas presidenciales, hizo una publicación plateando redistribuir las ganancias de la inteligencia artificial, lo que generó una caída breve del Kospi coreano. Un veterano tecnócrata coreano, que construyó su reputación gestionando crisis financieras, publicó un ensayo nocturno sobre cómo el país debería utilizar una eventual recaudación tributaria récord derivada del boom de la inteligencia artificial (IA). Poco después de la apertura bursátil de la mañana siguiente, el mercado comenzó a desplomarse. Kim Yong-beom, jefe de políticas presidenciales, es uno de los administradores de crisis económicas más reconocidos del país.Pero el martes quedó en el centro de una controversia por una publicación en Facebook, dondeargumentó que si el despliegue de infraestructura de IA genera ingresos fiscales sin precedentes, las autoridades deberían comenzar a pensar seriamente en cómo usar esa riqueza.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Desde bebidas en lata hasta bolsas para la basura: la crisis de Ormuz impulsa el acaparamiento de un amplia variedad de productos en todo el mundo</w:t>
      </w:r>
    </w:p>
    <w:p>
      <w:pPr>
        <w:spacing w:before="40" w:after="60"/>
        <w:ind w:left="283"/>
      </w:pPr>
      <w:r>
        <w:rPr>
          <w:rFonts w:ascii="Arial" w:hAnsi="Arial"/>
          <w:color w:val="404040"/>
          <w:sz w:val="21"/>
        </w:rPr>
        <w:t>Con el estrecho de Ormuz cerrado en su tercer mes, el acaparamiento de bienes se ha extendido globalmente: desde bolsas de basura en Corea del Sur y bidones de combustible en Australia hasta jeringas médicas y bebidas enlatadas en India, con empresas también acumulando inventarios y agravando las escaseces. Los gobiernos enfrentan el dilema de cómo intervenir: la OCDE recomienda resistir controles de precios y permitir que los mecanismos de mercado regulen la demanda, aunque reconoce que el racionamiento deberá extenderse si el estrecho permanece cerrado. Saudi Aramco advirtió que las reservas mundiales de gasolina y combustible para aviones podrían llegar a niveles críticos antes del verano boreal, mientras la OCDE insiste en que la prioridad debe ser la cooperación internacional para usar reservas estratégicas en lugar de prohibiciones de exportación.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Trump aterriza en China para una cumbre de alto riesgo con Xi Jinping mientras Irán se cierne sobre ellos</w:t>
      </w:r>
    </w:p>
    <w:p>
      <w:pPr>
        <w:spacing w:before="40" w:after="60"/>
        <w:ind w:left="283"/>
      </w:pPr>
      <w:r>
        <w:rPr>
          <w:rFonts w:ascii="Arial" w:hAnsi="Arial"/>
          <w:color w:val="404040"/>
          <w:sz w:val="21"/>
        </w:rPr>
        <w:t>El presidente Donald Trump llegó a Beijing para la primera visita de Estado de un mandatario estadounidense a China en nueve años, con una agenda centrada en la extensión de la tregua arancelaria de octubre de 2025, la creación de un consejo bilateral de comercio y la apertura del mercado chino para empresas de EEUU. En un giro inesperado, el CEO de Nvidia, Jensen Huang, se sumó de última hora a la delegación —que ya incluía a Elon Musk, Tim Cook y Kelly Ortberg—, poniendo la inteligencia artificial en el centro de la cumbre de 36 horas. Trump también buscará abordar el rol de China como principal comprador de petróleo iraní y su influencia sobre Teherán para avanzar en un acuerdo de paz, en un contexto donde el frágil alto el fuego con Irán está en riesgo.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BYD afirma que carga ultrarrápida en sólo cinco minutos ayudará a sus autos eléctricos a ganar cuota de mercado frente a los modelos a gasolina</w:t>
      </w:r>
    </w:p>
    <w:p>
      <w:pPr>
        <w:spacing w:before="40" w:after="60"/>
        <w:ind w:left="283"/>
      </w:pPr>
      <w:r>
        <w:rPr>
          <w:rFonts w:ascii="Arial" w:hAnsi="Arial"/>
          <w:color w:val="404040"/>
          <w:sz w:val="21"/>
        </w:rPr>
        <w:t>BYD presentó su tecnología de carga ultrarrápida —que permite cargar un vehículo eléctrico en cinco minutos, similar al tiempo de repostar gasolina— como el elemento que le permitirá competir en el 100% del mercado, incluyendo el 70% que hasta ahora consideraba «intocable» por las limitaciones de carga. La compañía planea instalar 20.000 estaciones de carga rápida en China y 6.000 internacionales en los próximos 12 meses, más 3.000 solo en Europa, donde también avanza en la construcción de su tercera fábrica continental. BYD está además en conversaciones con múltiples fabricantes europeos sobre colaboraciones más allá del ensamblaje —incluyendo el sector baterías—, aunque prefiere gestionar sus plantas de manera autónoma en lugar de compartirlas.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Perú comienza a definir el balotaje: Sánchez se afianza como contendor de Fujimori</w:t>
      </w:r>
    </w:p>
    <w:p>
      <w:pPr>
        <w:spacing w:before="40" w:after="60"/>
        <w:ind w:left="283"/>
      </w:pPr>
      <w:r>
        <w:rPr>
          <w:rFonts w:ascii="Arial" w:hAnsi="Arial"/>
          <w:color w:val="404040"/>
          <w:sz w:val="21"/>
        </w:rPr>
        <w:t>El proceso de proclamación descentralizada del JNE en Perú consolida a Roberto Sánchez (Juntos por el Perú) como el contendor de Keiko Fujimori en el balotaje del 7 de junio, con una diferencia matemáticamente irreversible sobre el exalcalde Rafael López Aliaga, quien denuncia fraude sin evidencia reconocida por observadores internacionales. Según Ipsos, Fujimori y Sánchez están empatados técnicamente con 38% de intención de voto cada uno, lo que plantea desafíos distintos: Sánchez debe conquistar Lima —donde obtuvo solo 4% en primera vuelta— y Fujimori debe reducir el antifujimorismo histórico que le ha costado tres balotajes previos. El avance de Sánchez genera preocupación en los mercados peruanos, con la confianza empresarial a su nivel más bajo en casi dos años y los activos financieros del país con bajo desempeño relativo.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El dilema de Warsh ante su confirmación en la Fed: una inflación al alza y la presión de Trump por bajar la tasa de interés</w:t>
      </w:r>
    </w:p>
    <w:p>
      <w:pPr>
        <w:spacing w:before="40" w:after="60"/>
        <w:ind w:left="283"/>
      </w:pPr>
      <w:r>
        <w:rPr>
          <w:rFonts w:ascii="Arial" w:hAnsi="Arial"/>
          <w:color w:val="404040"/>
          <w:sz w:val="21"/>
        </w:rPr>
        <w:t>Kevin Warsh se apresta a asumir como presidente de la Reserva Federal con 51 votos a favor del Senado, en un escenario inflacionario difícil: el IPC de abril subió 0,6% mensual, acumulando 3,8% interanual —máximo desde mayo de 2023—, mientras los precios al productor también sorprendieron al alza. Expertos como David Wessel de Brookings advierten que Warsh no podrá recortar tasas en el corto plazo pese a la presión de Trump, y será evaluado bajo el «estándar Powell» —su capacidad de resistir la presión presidencial—, dado que el mercado interpreta su nominación como señal de futura baja de tasas. Encuestas de Brookings muestran además divergencias entre Warsh y el establishment de la Fed en temas como el tamaño del balance general, las ruedas de prensa del FOMC y el marco conceptual de política monetaria.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La trastienda de la salida de Araos y tensiones con Lincolao en Ministerio de Ciencia: exsubsecretario asegura que sí le pidieron ejecutar despidos</w:t>
      </w:r>
    </w:p>
    <w:p>
      <w:pPr>
        <w:spacing w:before="40" w:after="60"/>
        <w:ind w:left="283"/>
      </w:pPr>
      <w:r>
        <w:rPr>
          <w:rFonts w:ascii="Arial" w:hAnsi="Arial"/>
          <w:color w:val="404040"/>
          <w:sz w:val="21"/>
        </w:rPr>
        <w:t>La renuncia del subsecretario de Ciencia, Rafael Araos, tras dos meses en el cargo refleja profundas diferencias con la ministra Ximena Lincolao sobre la orientación del ministerio: Lincolao privilegia la investigación aplicada y la innovación tecnológica, mientras Araos y la comunidad científica defienden el equilibrio con la ciencia básica, las ciencias sociales y la formación de capital humano avanzado. Araos contradijo públicamente a la ministra al confirmar que sí recibió la orden de diseñar y ejecutar un plan de desvinculaciones masivas de unos 40 trabajadores —cerca del 30% de la dotación—, lo que Lincolao había negado categóricamente ante funcionarios y medios. Filtraciones de un oficio de Hacienda sugieren la descontinuación de 11 programas, incluyendo becas de postgrado nacionales y el Fondo de Publicaciones Científicas, lo que alarma a universidades y a la comunidad académica, que advierte contra una visión de corto plazo en política científica.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peso de los costos laborales</w:t>
      </w:r>
    </w:p>
    <w:p>
      <w:pPr>
        <w:spacing w:before="40" w:after="60"/>
        <w:ind w:left="283"/>
      </w:pPr>
      <w:r>
        <w:rPr>
          <w:rFonts w:ascii="Arial" w:hAnsi="Arial"/>
          <w:color w:val="404040"/>
          <w:sz w:val="21"/>
        </w:rPr>
        <w:t>El editorial del Diario Financiero analiza el deterioro del mercado laboral chileno —desempleo en 8,9%, empleo formal cayendo en 33 mil puestos y 38 meses consecutivos sobre 8% de desocupación— y lo vincula a los efectos acumulativos de reformas como la reducción de jornada y las alzas del salario mínimo, que no fueron acompañadas de medidas de productividad. El texto señala que entre enero de 2022 y 2026 el salario mínimo aumentó 54% en términos nominales y 22% en términos reales, mientras sectores como la construcción, el retail y la minería reportan alzas de costos de entre 3,5% y 25% asociadas a la reducción de jornada. El editorial valora como señales positivas el reajuste salarial alineado con la inflación y la apertura del ministro del Trabajo a discutir el crédito tributario al empleo, apuntando al desafío de compatibilizar estándares laborales con productividad y competitividad.</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Un mal diagnóstico para un problema complejo</w:t>
      </w:r>
    </w:p>
    <w:p>
      <w:pPr>
        <w:spacing w:before="40" w:after="60"/>
        <w:ind w:left="283"/>
      </w:pPr>
      <w:r>
        <w:rPr>
          <w:rFonts w:ascii="Arial" w:hAnsi="Arial"/>
          <w:color w:val="404040"/>
          <w:sz w:val="21"/>
        </w:rPr>
        <w:t>El editorial critica la eventual eliminación de la franquicia tributaria Sence como respuesta a casos de mal uso, argumentando que se trataría de una solución simplista frente a un problema que exige mejorar la fiscalización, corregir incentivos y perseguir responsabilidades, no desmantelar un instrumento que bien utilizado ha permitido capacitar trabajadores. La nota señala una contradicción en la señal del gobierno: se exige a las empresas adaptarse e incorporar tecnología, pero simultáneamente se debilitarían los instrumentos de formación laboral sin ofrecer una alternativa clara. El editorial también cuestiona el silencio de la Dirección del Trabajo sobre el impacto que esta medida podría tener en trabajadores y empresas.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Cumplimiento ambiental de ENAP</w:t>
      </w:r>
    </w:p>
    <w:p>
      <w:pPr>
        <w:spacing w:before="40" w:after="60"/>
        <w:ind w:left="283"/>
      </w:pPr>
      <w:r>
        <w:rPr>
          <w:rFonts w:ascii="Arial" w:hAnsi="Arial"/>
          <w:color w:val="404040"/>
          <w:sz w:val="21"/>
        </w:rPr>
        <w:t>La autora de la carta, quien presidió el directorio de ENAP, responde al reportaje publicado el 8 de mayo sobre la empresa señalando que los hechos expuestos no se sustentan en antecedentes completos ni verificables, en particular respecto a la actuación del directorio. Precisa que desde que la administración informó al directorio —a fines de enero de 2026— sobre posibles inconsistencias en reportes de cumplimiento ambiental de la Refinería Aconcagua, el directorio actuó con diligencia, prudencia y estricto apego a sus deberes legales y fiduciarios. La carta lamenta no haber sido consultada para validar la información antes de su publicación.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Estado como obstáculo</w:t>
      </w:r>
    </w:p>
    <w:p>
      <w:pPr>
        <w:spacing w:before="40" w:after="60"/>
        <w:ind w:left="283"/>
      </w:pPr>
      <w:r>
        <w:rPr>
          <w:rFonts w:ascii="Arial" w:hAnsi="Arial"/>
          <w:color w:val="404040"/>
          <w:sz w:val="21"/>
        </w:rPr>
        <w:t>El breve editorial cita a Friedrich Hayek para enmarcar su crítica al proyecto de reconstrucción: el volumen de más de 1.300 indicaciones presentadas en la comisión de Hacienda es interpretado como una señal del exceso de burocracia y pérdida de foco que caracteriza el proceso legislativo. El texto concluye que Chile requiere certezas y condiciones para el crecimiento, no un laberinto regulatorio interminable.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13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