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960"/>
        <w:jc w:val="left"/>
      </w:pPr>
    </w:p>
    <w:p>
      <w:pPr>
        <w:spacing w:after="120"/>
        <w:jc w:val="center"/>
      </w:pPr>
      <w:r>
        <w:rPr>
          <w:rFonts w:ascii="Arial" w:hAnsi="Arial"/>
          <w:b/>
          <w:color w:val="1F4E79"/>
          <w:sz w:val="60"/>
        </w:rPr>
        <w:t>DIARIO FINANCIERO</w:t>
      </w:r>
    </w:p>
    <w:p>
      <w:pPr>
        <w:spacing w:after="80"/>
        <w:jc w:val="center"/>
      </w:pPr>
      <w:r>
        <w:rPr>
          <w:rFonts w:ascii="Arial" w:hAnsi="Arial"/>
          <w:b w:val="0"/>
          <w:color w:val="404040"/>
          <w:sz w:val="32"/>
        </w:rPr>
        <w:t>Resumen Ejecutivo del Día</w:t>
      </w:r>
    </w:p>
    <w:p>
      <w:pPr>
        <w:spacing w:after="200"/>
        <w:jc w:val="center"/>
      </w:pPr>
      <w:r>
        <w:rPr>
          <w:rFonts w:ascii="Arial" w:hAnsi="Arial"/>
          <w:color w:val="2E75B6"/>
          <w:sz w:val="26"/>
        </w:rPr>
        <w:t>7 De Septiembre De 2026</w:t>
      </w:r>
    </w:p>
    <w:p>
      <w:pPr>
        <w:jc w:val="center"/>
      </w:pPr>
      <w:r>
        <w:rPr>
          <w:rFonts w:ascii="Arial" w:hAnsi="Arial"/>
          <w:color w:val="999999"/>
          <w:sz w:val="20"/>
        </w:rPr>
        <w:t>6 secciones  ·  28 artículos</w:t>
      </w:r>
    </w:p>
    <w:p>
      <w:pPr>
        <w:spacing w:before="0" w:after="0"/>
      </w:pPr>
      <w:r>
        <w:br w:type="page"/>
      </w:r>
    </w:p>
    <w:p>
      <w:pPr>
        <w:spacing w:before="0" w:after="240"/>
      </w:pPr>
      <w:r>
        <w:rPr>
          <w:rFonts w:ascii="Arial" w:hAnsi="Arial"/>
          <w:b/>
          <w:color w:val="1F4E79"/>
          <w:sz w:val="28"/>
        </w:rPr>
        <w:t>ÍNDICE</w:t>
      </w:r>
    </w:p>
    <w:p>
      <w:pPr>
        <w:spacing w:before="0" w:after="0"/>
      </w:pPr>
      <w:r>
        <w:fldChar w:fldCharType="begin"/>
        <w:instrText xml:space="preserve"> TOC \o "1-2" \h \z \u </w:instrText>
        <w:fldChar w:fldCharType="separate"/>
      </w:r>
      <w:r>
        <w:rPr>
          <w:rFonts w:ascii="Arial" w:hAnsi="Arial"/>
          <w:i/>
          <w:color w:val="999999"/>
          <w:sz w:val="20"/>
        </w:rPr>
        <w:t>[ Presiona Ctrl+A y luego F9 para actualizar el índice ]</w:t>
      </w:r>
      <w:r>
        <w:fldChar w:fldCharType="end"/>
      </w:r>
    </w:p>
    <w:p>
      <w:pPr>
        <w:spacing w:before="0" w:after="0"/>
      </w:pPr>
      <w:r>
        <w:br w:type="page"/>
      </w:r>
    </w:p>
    <w:p>
      <w:pPr>
        <w:pStyle w:val="Heading1"/>
        <w:shd w:val="clear" w:color="auto" w:fill="1F4E79"/>
        <w:spacing w:before="320" w:after="160"/>
        <w:ind w:left="227"/>
      </w:pPr>
      <w:r>
        <w:rPr>
          <w:rFonts w:ascii="Arial" w:hAnsi="Arial"/>
          <w:b/>
          <w:color w:val="FFFFFF"/>
          <w:sz w:val="26"/>
        </w:rPr>
        <w:t>MERCADOS</w:t>
      </w:r>
    </w:p>
    <w:p>
      <w:pPr>
        <w:pStyle w:val="Heading2"/>
        <w:spacing w:before="200" w:after="80"/>
      </w:pPr>
      <w:r>
        <w:rPr>
          <w:rFonts w:ascii="Arial" w:hAnsi="Arial"/>
          <w:b/>
          <w:color w:val="2E75B6"/>
          <w:sz w:val="22"/>
        </w:rPr>
        <w:t xml:space="preserve">1.  </w:t>
      </w:r>
      <w:r>
        <w:rPr>
          <w:rFonts w:ascii="Arial" w:hAnsi="Arial"/>
          <w:b/>
          <w:color w:val="1F4E79"/>
          <w:sz w:val="22"/>
        </w:rPr>
        <w:t>IPSA abre ligeramente a la baja mientras inversionistas siguen atentos la mayor confrontación militar en el estrecho de Ormuz</w:t>
      </w:r>
    </w:p>
    <w:p>
      <w:pPr>
        <w:spacing w:before="40" w:after="60"/>
        <w:ind w:left="283"/>
      </w:pPr>
      <w:r>
        <w:rPr>
          <w:rFonts w:ascii="Arial" w:hAnsi="Arial"/>
          <w:color w:val="404040"/>
          <w:sz w:val="21"/>
        </w:rPr>
        <w:t>El MSCI IPSA retrocedía 0,1% a 11.442 puntos este lunes, presionado principalmente por Latam, mientras Wall Street permanecía cerrado por el feriado del Día del Trabajo. El petróleo Brent escaló 1,2% hasta US$ 97,4 por barril —máximo desde julio— tras los mayores ataques recíprocos entre EEUU e Irán contra petroleros en el estrecho de Ormuz. Los futuros de Wall Street mostraban caídas moderadas y el mercado anticipa una posible alza de tasas de la Fed en su próxima reunión, con el dato clave de inflación al consumidor agendado para el viernes.</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Goldman Sachs advierte que el petróleo puede llegar a US$ 120 mientras escalan los ataques en Medio Oriente</w:t>
      </w:r>
    </w:p>
    <w:p>
      <w:pPr>
        <w:spacing w:before="40" w:after="60"/>
        <w:ind w:left="283"/>
      </w:pPr>
      <w:r>
        <w:rPr>
          <w:rFonts w:ascii="Arial" w:hAnsi="Arial"/>
          <w:color w:val="404040"/>
          <w:sz w:val="21"/>
        </w:rPr>
        <w:t>Goldman Sachs advirtió que el crudo Brent podría alcanzar US$ 120 por barril si se amplían las interrupciones al transporte marítimo en Medio Oriente, tras los ataques recíprocos más intensos entre EEUU e Irán contra petroleros desde el inicio del conflicto. En el escenario positivo, la entidad proyecta una caída del crudo hasta US$ 80 si las exportaciones vuelven a la normalidad. En paralelo, Irán anunció estar a días de un acuerdo con Omán para habilitar una ruta segura temporal en el estrecho de Ormuz, lo que abre expectativas pero también posibles fricciones con Washington.</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Dólar abre con leve alza tras la escalada militar del fin de semana en las aguas de Medio Oriente</w:t>
      </w:r>
    </w:p>
    <w:p>
      <w:pPr>
        <w:spacing w:before="40" w:after="60"/>
        <w:ind w:left="283"/>
      </w:pPr>
      <w:r>
        <w:rPr>
          <w:rFonts w:ascii="Arial" w:hAnsi="Arial"/>
          <w:color w:val="404040"/>
          <w:sz w:val="21"/>
        </w:rPr>
        <w:t>El dólar subió $1,5 hasta los $935,5 en la apertura del lunes, impulsado por la escalada bélica entre EEUU e Irán en el estrecho de Ormuz. El dólar index retrocedía 0,2% a 99 puntos, muy influido por el yen japonés, lo que permitió al cobre en Londres avanzar 0,2% hasta US$ 6,55 por libra. Según ING, el dólar-peso se acerca al límite superior de su rango de $910-$950, aunque el cobre apoya al peso mientras la producción local cae 10% interanual por efectos climáticos.</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Klaus Kaempfe, gerente de inversiones de Credicorp Capital: la licitación del stock “nos devolverá a la pelea chica de la rentabilidad de corto plazo”</w:t>
      </w:r>
    </w:p>
    <w:p>
      <w:pPr>
        <w:spacing w:before="40" w:after="60"/>
        <w:ind w:left="283"/>
      </w:pPr>
      <w:r>
        <w:rPr>
          <w:rFonts w:ascii="Arial" w:hAnsi="Arial"/>
          <w:color w:val="404040"/>
          <w:sz w:val="21"/>
        </w:rPr>
        <w:t>Si bien, el ejecutivo valoró el nuevo régimen de inversión de las AFP, alertó que el mecanismo coarta la madurez y maximización de retorno del portafolio. Klaus Kaempfe, gerente de inversiones de Credicorp Capital. Desde la tarde del 1 de septiembre, los ojos del mercado se posaron sobreel nuevo régimen de inversión de los fondos de pensiones bajo el nuevo formato de fondos generacionales, que reemplazarán, a partir de abril de 2027, a los multifondos de las AFP.</w:t>
      </w:r>
    </w:p>
    <w:p>
      <w:pPr>
        <w:pBdr>
          <w:bottom w:val="single" w:sz="4" w:space="1" w:color="BDD7EE"/>
        </w:pBdr>
        <w:spacing w:before="80" w:after="80"/>
      </w:pPr>
    </w:p>
    <w:p>
      <w:pPr>
        <w:pStyle w:val="Heading2"/>
        <w:spacing w:before="200" w:after="80"/>
      </w:pPr>
      <w:r>
        <w:rPr>
          <w:rFonts w:ascii="Arial" w:hAnsi="Arial"/>
          <w:b/>
          <w:color w:val="2E75B6"/>
          <w:sz w:val="22"/>
        </w:rPr>
        <w:t xml:space="preserve">5.  </w:t>
      </w:r>
      <w:r>
        <w:rPr>
          <w:rFonts w:ascii="Arial" w:hAnsi="Arial"/>
          <w:b/>
          <w:color w:val="1F4E79"/>
          <w:sz w:val="22"/>
        </w:rPr>
        <w:t>Consultora Marsh y el nuevo régimen de inversión de las AFP: “Deja a Chile entre los países de mayor innovación”</w:t>
      </w:r>
    </w:p>
    <w:p>
      <w:pPr>
        <w:spacing w:before="40" w:after="60"/>
        <w:ind w:left="283"/>
      </w:pPr>
      <w:r>
        <w:rPr>
          <w:rFonts w:ascii="Arial" w:hAnsi="Arial"/>
          <w:color w:val="404040"/>
          <w:sz w:val="21"/>
        </w:rPr>
        <w:t>El líder de investments y retirement de la firma, Joaquín Ramírez, encabeza el equipo que asesora al regulador en la construcción del régimen, trabajo que concluye el 2 de octubre con la entrega de un informe final. Joaquín Ramírez, líder de Investments y Retirement de Marsh (ExMercer). Foto: Verónica Ortíz La semana pasada se concretó una de las medidas de la reforma previsional más esperadas por la industria de las AFP y el mercado financiero: la publicación del nuevo régimen de inversión de los fondos de pensiones, que regula el nuevo esquema de fondos generacionales.</w:t>
      </w:r>
    </w:p>
    <w:p>
      <w:pPr>
        <w:spacing w:before="0" w:after="80"/>
        <w:jc w:val="left"/>
      </w:pPr>
    </w:p>
    <w:p>
      <w:pPr>
        <w:pStyle w:val="Heading1"/>
        <w:shd w:val="clear" w:color="auto" w:fill="1F4E79"/>
        <w:spacing w:before="320" w:after="160"/>
        <w:ind w:left="227"/>
      </w:pPr>
      <w:r>
        <w:rPr>
          <w:rFonts w:ascii="Arial" w:hAnsi="Arial"/>
          <w:b/>
          <w:color w:val="FFFFFF"/>
          <w:sz w:val="26"/>
        </w:rPr>
        <w:t>EMPRESAS</w:t>
      </w:r>
    </w:p>
    <w:p>
      <w:pPr>
        <w:pStyle w:val="Heading2"/>
        <w:spacing w:before="200" w:after="80"/>
      </w:pPr>
      <w:r>
        <w:rPr>
          <w:rFonts w:ascii="Arial" w:hAnsi="Arial"/>
          <w:b/>
          <w:color w:val="2E75B6"/>
          <w:sz w:val="22"/>
        </w:rPr>
        <w:t xml:space="preserve">1.  </w:t>
      </w:r>
      <w:r>
        <w:rPr>
          <w:rFonts w:ascii="Arial" w:hAnsi="Arial"/>
          <w:b/>
          <w:color w:val="1F4E79"/>
          <w:sz w:val="22"/>
        </w:rPr>
        <w:t>Inmobiliaria recurre a la Suprema para invalidar nuevo PRC de Ripamonti que restringió desarrollo urbano en dunas de Reñaca</w:t>
      </w:r>
    </w:p>
    <w:p>
      <w:pPr>
        <w:spacing w:before="40" w:after="60"/>
        <w:ind w:left="283"/>
      </w:pPr>
      <w:r>
        <w:rPr>
          <w:rFonts w:ascii="Arial" w:hAnsi="Arial"/>
          <w:color w:val="404040"/>
          <w:sz w:val="21"/>
        </w:rPr>
        <w:t>Inmobiliaria Makro presentó un recurso de casación ante la Corte Suprema para revertir el fallo de la Corte de Apelaciones de Valparaíso que rechazó declarar ilegal el nuevo Plan Regulador Comunal de Reñaca Norte Costa, impulsado por la alcaldesa Ripamonti tras los socavones de 2023 y 2024. La empresa argumenta que el PRC constituye una expropiación regulatoria sin indemnización, ya que el terreno donde proyecta un edificio avaluado en US$ 60 millones perdió el uso residencial y vio su coeficiente de constructibilidad reducido de 200% a 15%. El caso se enmarca en una disputa legal con múltiples frentes: la inmobiliaria también enfrenta la caducidad de su permiso de obras de 2019 y el rechazo previo de su Estudio de Impacto Ambiental, aunque el Comité de Ministros lo aprobó en marzo pasado, decisión que también fue apelada por una fundación ambientalista.</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La disputa que abrió inmobiliaria por proyectos habitacionales en Quilicura: “Significa una pérdida de una cuantiosa inversión”</w:t>
      </w:r>
    </w:p>
    <w:p>
      <w:pPr>
        <w:spacing w:before="40" w:after="60"/>
        <w:ind w:left="283"/>
      </w:pPr>
      <w:r>
        <w:rPr>
          <w:rFonts w:ascii="Arial" w:hAnsi="Arial"/>
          <w:color w:val="404040"/>
          <w:sz w:val="21"/>
        </w:rPr>
        <w:t>Privado apunta a oficio de la Secretaría Regional Ministerial de Vivienda y Urbanismo de la Región Metropolitana, que invalidó el uso de suelo residencial a terrenos donde desarrolla una serie de iniciativas, incluso con promesas de compraventa firmadas. La Inmobiliaria Pacífico, ligada a los empresarios Héctor Correa y Jaime Araya (director Ejecutivo de Colliers)inició una arremetida judicial en contra de la Secretaría Regional Ministerial de Vivienda y Urbanismo de la Región Metropolitana (Seremi Minvu RM),que invalidó el uso de suelo residencial a terrenos donde el privado desarrolla una serie de iniciativas habitacionales, incluso con promesas de compraventa firmadas. La inmobiliaria es arrendataria con opción de compra de terrenos que formaban parte de la subdivisión denominada Hacienda Quilicura, sector donde actualmente desarrolla proyectos de viviendas sociales acogidos al subsidio del Decreto Supremo N° 19 del Minvu,denominados Parque Tres Piedras I (nueve edificios con 298 viviendas, con un 85% de avance de obras y promesas de compraventa firmadas) y Parque Tres Piedras II (con 298 viviendas, en etapa de tramitación de permisos).Asimismo, el privado vendió al Serviu el Lote III, para el desarrollo de viviendas sociales.</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Más de 45 proyectos que están en evaluación ambiental podrían acogerse a invariabilidad tributaria por 20 años</w:t>
      </w:r>
    </w:p>
    <w:p>
      <w:pPr>
        <w:spacing w:before="40" w:after="60"/>
        <w:ind w:left="283"/>
      </w:pPr>
      <w:r>
        <w:rPr>
          <w:rFonts w:ascii="Arial" w:hAnsi="Arial"/>
          <w:color w:val="404040"/>
          <w:sz w:val="21"/>
        </w:rPr>
        <w:t>La ley de reconstrucción nacional introduce un nuevo mecanismo de invariabilidad tributaria para inversiones desde US$ 50 millones, con plazos de 10, 15 y 20 años según el monto del proyecto, vigente desde enero de 2027. Según LyD, 151 de los 361 proyectos actualmente en el SEIA superan ese umbral, con una inversión declarada de US$ 86.824 millones; 49 de ellos podrían acceder al tramo máximo de 20 años, concentrado en minería, energía e hidrógeno verde. El fallo del Tribunal Constitucional eliminó la expresión 'entre otros' al definir sectores elegibles, abriendo debate sobre si proyectos inmobiliarios quedan fuera, aunque Hacienda evalúa una modificación legal para ampliar el universo de beneficiarios.</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Expertos debaten sobre la adopción de la IA en el trabajo y la importancia del cambio organizacional</w:t>
      </w:r>
    </w:p>
    <w:p>
      <w:pPr>
        <w:spacing w:before="40" w:after="60"/>
        <w:ind w:left="283"/>
      </w:pPr>
      <w:r>
        <w:rPr>
          <w:rFonts w:ascii="Arial" w:hAnsi="Arial"/>
          <w:color w:val="404040"/>
          <w:sz w:val="21"/>
        </w:rPr>
        <w:t>Un estudio de LEAS UAI y Mutual de Seguridad reveló que un tercio de los trabajadores chilenos tiene una visión positiva de la IA, que los usuarios de asistentes de IA perciben mayor productividad y calidad en su trabajo, y que el 64% teme que la IA elimine empleos en general, aunque esa cifra cae a 43% cuando se trata del propio puesto. El subsecretario del Trabajo, Gustavo Rosende, destacó que hay una brecha entre la declaración de adopción de IA —70-80% en grandes empresas— y su integración real en procesos, que alcanza solo el 5%, mientras la tasa de desempleo chilena de 9,5% duplica el promedio de la OCDE. Los panelistas coincidieron en que el salto de productividad no vendrá de la tecnología en sí, sino del cambio organizacional, y que Chile debería mirar modelos de formación dual como los de Suiza y Alemania.</w:t>
      </w:r>
    </w:p>
    <w:p>
      <w:pPr>
        <w:pBdr>
          <w:bottom w:val="single" w:sz="4" w:space="1" w:color="BDD7EE"/>
        </w:pBdr>
        <w:spacing w:before="80" w:after="80"/>
      </w:pPr>
    </w:p>
    <w:p>
      <w:pPr>
        <w:pStyle w:val="Heading2"/>
        <w:spacing w:before="200" w:after="80"/>
      </w:pPr>
      <w:r>
        <w:rPr>
          <w:rFonts w:ascii="Arial" w:hAnsi="Arial"/>
          <w:b/>
          <w:color w:val="2E75B6"/>
          <w:sz w:val="22"/>
        </w:rPr>
        <w:t xml:space="preserve">5.  </w:t>
      </w:r>
      <w:r>
        <w:rPr>
          <w:rFonts w:ascii="Arial" w:hAnsi="Arial"/>
          <w:b/>
          <w:color w:val="1F4E79"/>
          <w:sz w:val="22"/>
        </w:rPr>
        <w:t>Compañía de ropa Patagonia arremete contra Trump por reducir parques y critica proyecto de Luksic en Minnesota</w:t>
      </w:r>
    </w:p>
    <w:p>
      <w:pPr>
        <w:spacing w:before="40" w:after="60"/>
        <w:ind w:left="283"/>
      </w:pPr>
      <w:r>
        <w:rPr>
          <w:rFonts w:ascii="Arial" w:hAnsi="Arial"/>
          <w:color w:val="404040"/>
          <w:sz w:val="21"/>
        </w:rPr>
        <w:t>Patagonia se sumó a una coalición que demanda a la administración Trump por reducir en 91% el territorio protegido de los monumentos naturales Bears Ears y Grand Staircase-Escalante en Utah, argumentando que el decreto es ilegal y busca habilitar la extracción minera privada en tierras federales. El CEO Ryan Gellert vinculó la disputa con la decisión del Congreso de EEUU de revertir la prohibición de actividad minera en Minnesota, lo que desbloqueó el proyecto Twin Metals de Antofagasta Minerals del Grupo Luksic, una iniciativa cuprífera de US$ 2.000 millones con más de 70 años de concesiones en la zona. La minera del Grupo Luksic sostiene que el proyecto usa energías limpias, opera de forma subterránea sin afectar la industria outdoor, y pide solo la oportunidad de someterse a una evaluación ambiental en sus méritos.</w:t>
      </w:r>
    </w:p>
    <w:p>
      <w:pPr>
        <w:pBdr>
          <w:bottom w:val="single" w:sz="4" w:space="1" w:color="BDD7EE"/>
        </w:pBdr>
        <w:spacing w:before="80" w:after="80"/>
      </w:pPr>
    </w:p>
    <w:p>
      <w:pPr>
        <w:pStyle w:val="Heading2"/>
        <w:spacing w:before="200" w:after="80"/>
      </w:pPr>
      <w:r>
        <w:rPr>
          <w:rFonts w:ascii="Arial" w:hAnsi="Arial"/>
          <w:b/>
          <w:color w:val="2E75B6"/>
          <w:sz w:val="22"/>
        </w:rPr>
        <w:t xml:space="preserve">6.  </w:t>
      </w:r>
      <w:r>
        <w:rPr>
          <w:rFonts w:ascii="Arial" w:hAnsi="Arial"/>
          <w:b/>
          <w:color w:val="1F4E79"/>
          <w:sz w:val="22"/>
        </w:rPr>
        <w:t>Minera de oro sudafricana acuerda proteger a la especie de chinchilla que hace dos años complicó su proyecto Salares Norte</w:t>
      </w:r>
    </w:p>
    <w:p>
      <w:pPr>
        <w:spacing w:before="40" w:after="60"/>
        <w:ind w:left="283"/>
      </w:pPr>
      <w:r>
        <w:rPr>
          <w:rFonts w:ascii="Arial" w:hAnsi="Arial"/>
          <w:color w:val="404040"/>
          <w:sz w:val="21"/>
        </w:rPr>
        <w:t>Gold Fields, que opera la mina Salares Norte en la cordillera de Atacama —inaugurada tras superar una crisis ambiental en 2024 que dejó dos chinchillas de cola corta muertas durante un intento de relocalización—, suscribió una alianza de largo plazo con el Instituto de Ecología y Biodiversidad (IEB) para conservar y estudiar esta especie en peligro crítico de extinción. El acuerdo va más allá de los compromisos normativos de la empresa e incluye financiamiento de investigación en una especie poco estudiada por la dificultad de acceso a su hábitat. La operación de Salares Norte sitúa hoy a Chile entre los diez principales productores de oro del mundo.</w:t>
      </w:r>
    </w:p>
    <w:p>
      <w:pPr>
        <w:pBdr>
          <w:bottom w:val="single" w:sz="4" w:space="1" w:color="BDD7EE"/>
        </w:pBdr>
        <w:spacing w:before="80" w:after="80"/>
      </w:pPr>
    </w:p>
    <w:p>
      <w:pPr>
        <w:pStyle w:val="Heading2"/>
        <w:spacing w:before="200" w:after="80"/>
      </w:pPr>
      <w:r>
        <w:rPr>
          <w:rFonts w:ascii="Arial" w:hAnsi="Arial"/>
          <w:b/>
          <w:color w:val="2E75B6"/>
          <w:sz w:val="22"/>
        </w:rPr>
        <w:t xml:space="preserve">7.  </w:t>
      </w:r>
      <w:r>
        <w:rPr>
          <w:rFonts w:ascii="Arial" w:hAnsi="Arial"/>
          <w:b/>
          <w:color w:val="1F4E79"/>
          <w:sz w:val="22"/>
        </w:rPr>
        <w:t>Doble click a Ticketplus: su salida a bolsa en EEUU, el negocio de data y la entrada de Fernando Massú como asesor</w:t>
      </w:r>
    </w:p>
    <w:p>
      <w:pPr>
        <w:spacing w:before="40" w:after="60"/>
        <w:ind w:left="283"/>
      </w:pPr>
      <w:r>
        <w:rPr>
          <w:rFonts w:ascii="Arial" w:hAnsi="Arial"/>
          <w:color w:val="404040"/>
          <w:sz w:val="21"/>
        </w:rPr>
        <w:t>Ticketplus cumple un mes cotizando en Wall Street como la primera tecnológica chilena en listar directamente en bolsa estadounidense, con una valorización inicial de US$ 100 millones a US$ 8 por acción que ha subido a cerca de US$ 9. En el primer semestre de 2026, la empresa registró ingresos de US$ 22,8 millones —un 68% más que un año antes— y una utilidad neta de US$ 3,9 millones, más del doble que en igual período de 2025. Dos firmas de análisis ya recomiendan la acción con precios objetivo de entre US$ 12,50 y US$ 14, destacando el modelo de white label en 11 países latinoamericanos y el valor estratégico de su base de datos de eventos, que genera una tasa de retención de clientes superior al 95%.</w:t>
      </w:r>
    </w:p>
    <w:p>
      <w:pPr>
        <w:pBdr>
          <w:bottom w:val="single" w:sz="4" w:space="1" w:color="BDD7EE"/>
        </w:pBdr>
        <w:spacing w:before="80" w:after="80"/>
      </w:pPr>
    </w:p>
    <w:p>
      <w:pPr>
        <w:pStyle w:val="Heading2"/>
        <w:spacing w:before="200" w:after="80"/>
      </w:pPr>
      <w:r>
        <w:rPr>
          <w:rFonts w:ascii="Arial" w:hAnsi="Arial"/>
          <w:b/>
          <w:color w:val="2E75B6"/>
          <w:sz w:val="22"/>
        </w:rPr>
        <w:t xml:space="preserve">8.  </w:t>
      </w:r>
      <w:r>
        <w:rPr>
          <w:rFonts w:ascii="Arial" w:hAnsi="Arial"/>
          <w:b/>
          <w:color w:val="1F4E79"/>
          <w:sz w:val="22"/>
        </w:rPr>
        <w:t>Concha y Toro reactiva su negocio inmobiliario y evalúa oportunidades para 120 hectáreas que tiene en la Región Metropolitana</w:t>
      </w:r>
    </w:p>
    <w:p>
      <w:pPr>
        <w:spacing w:before="40" w:after="60"/>
        <w:ind w:left="283"/>
      </w:pPr>
      <w:r>
        <w:rPr>
          <w:rFonts w:ascii="Arial" w:hAnsi="Arial"/>
          <w:color w:val="404040"/>
          <w:sz w:val="21"/>
        </w:rPr>
        <w:t>Viña Concha y Toro, ligada a las familias Guilisasti y Larraín, está evaluando el desarrollo o venta de aproximadamente 120 hectáreas no esenciales ubicadas en distintas comunas de la Región Metropolitana, en el marco de una segunda etapa de su estrategia inmobiliaria iniciada en 2017. La decisión se da en un contexto de escasez de grandes paños de terreno en Santiago: según GPS Property, solo quedan unas 200 hectáreas de macrolotes industriales disponibles de más de 20 hectáreas, con una demanda estimada de 80 hectáreas anuales que podría agotar el stock en tres años. La compañía evalúa distintas fórmulas —venta directa, asociaciones o desarrollo propio— y mantiene una participación en un proyecto residencial en La Cisterna con Besalco que ya muestra ocupación superior al 93%.</w:t>
      </w:r>
    </w:p>
    <w:p>
      <w:pPr>
        <w:spacing w:before="0" w:after="80"/>
        <w:jc w:val="left"/>
      </w:pPr>
    </w:p>
    <w:p>
      <w:pPr>
        <w:pStyle w:val="Heading1"/>
        <w:shd w:val="clear" w:color="auto" w:fill="1F4E79"/>
        <w:spacing w:before="320" w:after="160"/>
        <w:ind w:left="227"/>
      </w:pPr>
      <w:r>
        <w:rPr>
          <w:rFonts w:ascii="Arial" w:hAnsi="Arial"/>
          <w:b/>
          <w:color w:val="FFFFFF"/>
          <w:sz w:val="26"/>
        </w:rPr>
        <w:t>ECONOMÍA</w:t>
      </w:r>
    </w:p>
    <w:p>
      <w:pPr>
        <w:pStyle w:val="Heading2"/>
        <w:spacing w:before="200" w:after="80"/>
      </w:pPr>
      <w:r>
        <w:rPr>
          <w:rFonts w:ascii="Arial" w:hAnsi="Arial"/>
          <w:b/>
          <w:color w:val="2E75B6"/>
          <w:sz w:val="22"/>
        </w:rPr>
        <w:t xml:space="preserve">1.  </w:t>
      </w:r>
      <w:r>
        <w:rPr>
          <w:rFonts w:ascii="Arial" w:hAnsi="Arial"/>
          <w:b/>
          <w:color w:val="1F4E79"/>
          <w:sz w:val="22"/>
        </w:rPr>
        <w:t>Crecimiento de los salarios de los trabajadores en Chile se aceleró en julio, en medio de mayores presiones de costos laborales</w:t>
      </w:r>
    </w:p>
    <w:p>
      <w:pPr>
        <w:spacing w:before="40" w:after="60"/>
        <w:ind w:left="283"/>
      </w:pPr>
      <w:r>
        <w:rPr>
          <w:rFonts w:ascii="Arial" w:hAnsi="Arial"/>
          <w:color w:val="404040"/>
          <w:sz w:val="21"/>
        </w:rPr>
        <w:t>El Índice Real de Remuneraciones creció 4,1% en doce meses durante julio, acelerándose respecto al 3,3% de junio, mientras el Índice Nominal de Costos Laborales avanzó 8,7% en igual período, igualando su mayor expansión desde septiembre de 2023. La remuneración media por hora ordinaria se situó en $7.599, con un alza interanual de 8,6%, con brechas de género que perjudican a las mujeres tanto en remuneraciones (-4,9%) como en costos laborales (-5,6%). En paralelo, el Índice de Avisos Laborales de Internet del Banco Central cayó 1% en agosto, acumulando diez meses consecutivos en terreno negativo, aunque con una contracción más moderada que el -10,5% registrado en julio.</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Claves del Congreso: sala cuna vuelve a la tabla de la Sala y feriado de Fiestas Patrias no alcanzará a concluir tramitación</w:t>
      </w:r>
    </w:p>
    <w:p>
      <w:pPr>
        <w:spacing w:before="40" w:after="60"/>
        <w:ind w:left="283"/>
      </w:pPr>
      <w:r>
        <w:rPr>
          <w:rFonts w:ascii="Arial" w:hAnsi="Arial"/>
          <w:color w:val="404040"/>
          <w:sz w:val="21"/>
        </w:rPr>
        <w:t>El feriado del 17 de septiembre prácticamente no tendrá vida como ley: aunque la Comisión de Gobierno continuará su tramitación este martes, el gobierno le negó el patrocinio y republicanos y libertarios han bloqueado su avance con métodos dilatorios, haciendo imposible la promulgación antes del 18 de septiembre. La agenda legislativa de la semana incluye también la votación en Sala del proyecto de sala cuna, avances en el proyecto de amparo minero, la discusión sobre adaptabilidad laboral y una sesión especial para analizar el alto desempleo con el ministro del Trabajo Tomás Rau. La Comisión de Economía citó al ministro Daniel Mas y al subsecretario de Hacienda para explicar las causas de la caída del último Imacec y las medidas proyectadas para reactivar el crecimiento.</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Kast reconoce dificultad para lograr meta de crecimiento en 2026 y sincera que “no hemos podido solucionar el desempleo”</w:t>
      </w:r>
    </w:p>
    <w:p>
      <w:pPr>
        <w:spacing w:before="40" w:after="60"/>
        <w:ind w:left="283"/>
      </w:pPr>
      <w:r>
        <w:rPr>
          <w:rFonts w:ascii="Arial" w:hAnsi="Arial"/>
          <w:color w:val="404040"/>
          <w:sz w:val="21"/>
        </w:rPr>
        <w:t>El mandatario respaldo la actuación del canciller Francisco Pérez Mackenna ante una eventual interpelación de la oposición y dijo que es posible una reunión bilateral con Donald Trump en la ONU. A casi seis meses de asumir su mandato, el Presidente de la República, José Antonio Kast, reconoció que será difícil lograr la meta de crecimiento del PIB 1,8% para el presente año y también que la tarea pendiente es lograr repuntar en la generación de empleos. En entrevista con radio ADN, el mandatario indicó frente a las recientes cifras económicas que“hay un tema que no hemos podido solucionar aún, que es el desempleo”,pero apuntó a la reciente aprobación de la ley de reactivación como una herramienta para crear puestos de trabajo.</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Las exportaciones chilenas crecieron en agosto, pero los envíos de cobre cayeron por primera vez desde diciembre de 2023</w:t>
      </w:r>
    </w:p>
    <w:p>
      <w:pPr>
        <w:spacing w:before="40" w:after="60"/>
        <w:ind w:left="283"/>
      </w:pPr>
      <w:r>
        <w:rPr>
          <w:rFonts w:ascii="Arial" w:hAnsi="Arial"/>
          <w:color w:val="404040"/>
          <w:sz w:val="21"/>
        </w:rPr>
        <w:t>Las exportaciones chilenas totalizaron US$ 9.499 millones en agosto, un 11,8% más que en igual mes de 2025, aunque el cobre registró su primera caída desde diciembre de 2023, con envíos que bajaron 3,2% hasta US$ 4.625 millones, afectados por una contracción de 16,3% en los concentrados. En sentido contrario, molibdeno y litio exhibieron alzas explosivas de 106,5% y 207,5% respectivamente, y los sectores agrícola, industrial y vitivinícola también mostraron crecimientos relevantes. Las importaciones de bienes de capital —termómetro de la inversión— cayeron 6,3% por cuarto mes consecutivo, aunque las importaciones totales subieron 12,5% impulsadas por energéticos como petróleo y diésel.</w:t>
      </w:r>
    </w:p>
    <w:p>
      <w:pPr>
        <w:pBdr>
          <w:bottom w:val="single" w:sz="4" w:space="1" w:color="BDD7EE"/>
        </w:pBdr>
        <w:spacing w:before="80" w:after="80"/>
      </w:pPr>
    </w:p>
    <w:p>
      <w:pPr>
        <w:pStyle w:val="Heading2"/>
        <w:spacing w:before="200" w:after="80"/>
      </w:pPr>
      <w:r>
        <w:rPr>
          <w:rFonts w:ascii="Arial" w:hAnsi="Arial"/>
          <w:b/>
          <w:color w:val="2E75B6"/>
          <w:sz w:val="22"/>
        </w:rPr>
        <w:t xml:space="preserve">5.  </w:t>
      </w:r>
      <w:r>
        <w:rPr>
          <w:rFonts w:ascii="Arial" w:hAnsi="Arial"/>
          <w:b/>
          <w:color w:val="1F4E79"/>
          <w:sz w:val="22"/>
        </w:rPr>
        <w:t>Una puerta hacia mejores salarios y un empleo formal: certificar las competencias sí renta</w:t>
      </w:r>
    </w:p>
    <w:p>
      <w:pPr>
        <w:spacing w:before="40" w:after="60"/>
        <w:ind w:left="283"/>
      </w:pPr>
      <w:r>
        <w:rPr>
          <w:rFonts w:ascii="Arial" w:hAnsi="Arial"/>
          <w:color w:val="404040"/>
          <w:sz w:val="21"/>
        </w:rPr>
        <w:t>Un estudio de ChileValora sobre 1.172 trabajadores certificados en oficios eléctricos y de gas del sector construcción constató que la certificación de competencias eleva los salarios reales entre 13% y 25%, equivalente a entre $58.000 y $106.000 adicionales respecto al grupo de control. El mecanismo funcionaría como una señal que reduce la asimetría de información entre trabajadores y empleadores, siendo especialmente relevante en sectores con alta rotación y contratos por obra. Los investigadores también encontraron que los trabajadores certificados acumularon casi un mes adicional de cotizaciones previsionales al año siguiente, equivalente a un incremento de 8% en permanencia en el empleo formal.</w:t>
      </w:r>
    </w:p>
    <w:p>
      <w:pPr>
        <w:pBdr>
          <w:bottom w:val="single" w:sz="4" w:space="1" w:color="BDD7EE"/>
        </w:pBdr>
        <w:spacing w:before="80" w:after="80"/>
      </w:pPr>
    </w:p>
    <w:p>
      <w:pPr>
        <w:pStyle w:val="Heading2"/>
        <w:spacing w:before="200" w:after="80"/>
      </w:pPr>
      <w:r>
        <w:rPr>
          <w:rFonts w:ascii="Arial" w:hAnsi="Arial"/>
          <w:b/>
          <w:color w:val="2E75B6"/>
          <w:sz w:val="22"/>
        </w:rPr>
        <w:t xml:space="preserve">6.  </w:t>
      </w:r>
      <w:r>
        <w:rPr>
          <w:rFonts w:ascii="Arial" w:hAnsi="Arial"/>
          <w:b/>
          <w:color w:val="1F4E79"/>
          <w:sz w:val="22"/>
        </w:rPr>
        <w:t>Hacienda aclara las principales dudas de cara a la suspensión por un año del IVA a la vivienda</w:t>
      </w:r>
    </w:p>
    <w:p>
      <w:pPr>
        <w:spacing w:before="40" w:after="60"/>
        <w:ind w:left="283"/>
      </w:pPr>
      <w:r>
        <w:rPr>
          <w:rFonts w:ascii="Arial" w:hAnsi="Arial"/>
          <w:color w:val="404040"/>
          <w:sz w:val="21"/>
        </w:rPr>
        <w:t>El Ministerio de Hacienda explicó que la exención de IVA a la compraventa de viviendas nuevas —que abarataría los precios en hasta 14%— comenzará a regir desde noviembre, un mes después de la promulgación de la ley de reconstrucción, y se aplicará durante un año a escrituras celebradas en ese período. Para operaciones realizadas desde el 22 de abril —fecha de ingreso del proyecto al Congreso— y hasta la entrada en vigor de la norma, existirá un mecanismo retroactivo de devolución del IVA a través de una plataforma web del SII, estimando unas 20.000 operaciones de 1.200 inmobiliarias. El régimen es opcional y requiere que la vivienda tenga recepción definitiva total o parcial otorgada por la DOM antes de la publicación de la ley; la inmobiliaria será responsable de devolver el IVA al comprador antes de solicitar la devolución al SII.</w:t>
      </w:r>
    </w:p>
    <w:p>
      <w:pPr>
        <w:pBdr>
          <w:bottom w:val="single" w:sz="4" w:space="1" w:color="BDD7EE"/>
        </w:pBdr>
        <w:spacing w:before="80" w:after="80"/>
      </w:pPr>
    </w:p>
    <w:p>
      <w:pPr>
        <w:pStyle w:val="Heading2"/>
        <w:spacing w:before="200" w:after="80"/>
      </w:pPr>
      <w:r>
        <w:rPr>
          <w:rFonts w:ascii="Arial" w:hAnsi="Arial"/>
          <w:b/>
          <w:color w:val="2E75B6"/>
          <w:sz w:val="22"/>
        </w:rPr>
        <w:t xml:space="preserve">7.  </w:t>
      </w:r>
      <w:r>
        <w:rPr>
          <w:rFonts w:ascii="Arial" w:hAnsi="Arial"/>
          <w:b/>
          <w:color w:val="1F4E79"/>
          <w:sz w:val="22"/>
        </w:rPr>
        <w:t>Se aceleran las solicitudes de marcas impulsadas por los sectores de la tecnología y salud</w:t>
      </w:r>
    </w:p>
    <w:p>
      <w:pPr>
        <w:spacing w:before="40" w:after="60"/>
        <w:ind w:left="283"/>
      </w:pPr>
      <w:r>
        <w:rPr>
          <w:rFonts w:ascii="Arial" w:hAnsi="Arial"/>
          <w:color w:val="404040"/>
          <w:sz w:val="21"/>
        </w:rPr>
        <w:t>Las solicitudes de marcas multiclase en Chile alcanzaron 29.787 presentaciones en los primeros siete meses de 2026, un 18% más que en igual período de 2025 y el nivel más alto para ese lapso desde 2021. Las categorías con mayor dinamismo fueron equipamiento e instrumentos médicos (+30%), productos farmacéuticos (+21%) y alimentos procesados (+20%), reflejo del creciente interés de los sectores de tecnología y salud por proteger activos intangibles. Inapi también reportó mejoras en tiempos de tramitación: el promedio bajó de 7,7 a 5,5 meses en un año, y las marcas sin observaciones se procesan ahora en 4,1 meses.</w:t>
      </w:r>
    </w:p>
    <w:p>
      <w:pPr>
        <w:pBdr>
          <w:bottom w:val="single" w:sz="4" w:space="1" w:color="BDD7EE"/>
        </w:pBdr>
        <w:spacing w:before="80" w:after="80"/>
      </w:pPr>
    </w:p>
    <w:p>
      <w:pPr>
        <w:pStyle w:val="Heading2"/>
        <w:spacing w:before="200" w:after="80"/>
      </w:pPr>
      <w:r>
        <w:rPr>
          <w:rFonts w:ascii="Arial" w:hAnsi="Arial"/>
          <w:b/>
          <w:color w:val="2E75B6"/>
          <w:sz w:val="22"/>
        </w:rPr>
        <w:t xml:space="preserve">8.  </w:t>
      </w:r>
      <w:r>
        <w:rPr>
          <w:rFonts w:ascii="Arial" w:hAnsi="Arial"/>
          <w:b/>
          <w:color w:val="1F4E79"/>
          <w:sz w:val="22"/>
        </w:rPr>
        <w:t>Dipres pone en la mira los estados financieros de las universidades estatales</w:t>
      </w:r>
    </w:p>
    <w:p>
      <w:pPr>
        <w:spacing w:before="40" w:after="60"/>
        <w:ind w:left="283"/>
      </w:pPr>
      <w:r>
        <w:rPr>
          <w:rFonts w:ascii="Arial" w:hAnsi="Arial"/>
          <w:color w:val="404040"/>
          <w:sz w:val="21"/>
        </w:rPr>
        <w:t>El director de Presupuestos, José Pablo Gómez, planteó en el CEP la necesidad de ampliar el análisis fiscal hacia las 18 universidades estatales, que como las empresas públicas generan pasivos, acceden a endeudamiento con aval del Estado y reportan estados financieros bajo IFRS, pero no son analizadas con el mismo rigor. Dipres ha ofrecido asesoría a la Superintendencia de Educación Superior para revisar esos estados financieros en busca de alertas de riesgo, como parte de un plan más amplio de eficiencia del gasto que ya incluye un recorte de US$ 2.000 millones en seis meses. De las 18 universidades estatales, tres registraron pérdidas en 2024: la Universidad de Valparaíso, la de La Frontera y la de Magallanes.</w:t>
      </w:r>
    </w:p>
    <w:p>
      <w:pPr>
        <w:spacing w:before="0" w:after="80"/>
        <w:jc w:val="left"/>
      </w:pPr>
    </w:p>
    <w:p>
      <w:pPr>
        <w:pStyle w:val="Heading1"/>
        <w:shd w:val="clear" w:color="auto" w:fill="1F4E79"/>
        <w:spacing w:before="320" w:after="160"/>
        <w:ind w:left="227"/>
      </w:pPr>
      <w:r>
        <w:rPr>
          <w:rFonts w:ascii="Arial" w:hAnsi="Arial"/>
          <w:b/>
          <w:color w:val="FFFFFF"/>
          <w:sz w:val="26"/>
        </w:rPr>
        <w:t>INTERNACIONAL</w:t>
      </w:r>
    </w:p>
    <w:p>
      <w:pPr>
        <w:pStyle w:val="Heading2"/>
        <w:spacing w:before="200" w:after="80"/>
      </w:pPr>
      <w:r>
        <w:rPr>
          <w:rFonts w:ascii="Arial" w:hAnsi="Arial"/>
          <w:b/>
          <w:color w:val="2E75B6"/>
          <w:sz w:val="22"/>
        </w:rPr>
        <w:t xml:space="preserve">1.  </w:t>
      </w:r>
      <w:r>
        <w:rPr>
          <w:rFonts w:ascii="Arial" w:hAnsi="Arial"/>
          <w:b/>
          <w:color w:val="1F4E79"/>
          <w:sz w:val="22"/>
        </w:rPr>
        <w:t>Huawei lanza su nuevo teléfono plegable de alta gama, mientras se recrudece la competencia con Xiaomi y Apple en productos premium</w:t>
      </w:r>
    </w:p>
    <w:p>
      <w:pPr>
        <w:spacing w:before="40" w:after="60"/>
        <w:ind w:left="283"/>
      </w:pPr>
      <w:r>
        <w:rPr>
          <w:rFonts w:ascii="Arial" w:hAnsi="Arial"/>
          <w:color w:val="404040"/>
          <w:sz w:val="21"/>
        </w:rPr>
        <w:t>Huawei presentó el Mate XT2, un teléfono plegable que se despliega dos veces hasta alcanzar una pantalla de 10,2 pulgadas y que incorpora el nuevo chip Kirin 9050 Pro, desarrollado bajo la filosofía 'LogicFolding' como vía alternativa a las restricciones estadounidenses sobre litografía avanzada. El lanzamiento se produce simultáneamente con un teléfono plegable rival de Xiaomi y a días del anuncio de la nueva serie iPhone de Apple, en una semana de intensa competencia en el segmento premium del mercado chino. Las especificaciones del Mate XT2 —16 GB de RAM y 256 GB de almacenamiento— son relativamente modestas para su categoría, reflejo de las presiones de suministro de memoria que enfrenta la industria.</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Chile y Perú celebran 20 años de próspero intercambio bajo el tratado de libre comercio</w:t>
      </w:r>
    </w:p>
    <w:p>
      <w:pPr>
        <w:spacing w:before="40" w:after="60"/>
        <w:ind w:left="283"/>
      </w:pPr>
      <w:r>
        <w:rPr>
          <w:rFonts w:ascii="Arial" w:hAnsi="Arial"/>
          <w:color w:val="404040"/>
          <w:sz w:val="21"/>
        </w:rPr>
        <w:t>El tratado de libre comercio entre Chile y Perú, firmado en agosto de 2006, multiplicó más de ocho veces el comercio bilateral, que pasó de US$ 454 millones en 1997 a US$ 3.771 millones en 2025, con el 100% del universo arancelario a arancel cero desde 2016. El 91% de las exportaciones chilenas de bienes a Perú en 2025 correspondió a productos industriales, reflejando una canasta diversificada; mientras que el stock de inversión chilena en Perú supera los US$ 11.877 millones en sectores como retail, minería y telecomunicaciones. Autoridades y empresarios preparan actividades conmemorativas para octubre y señalan que la agenda de los próximos 20 años debe avanzar hacia cadenas de valor regionales, integración productiva en minería y agroexportación, y mayor conexión entre mercados de capitales vía la bolsa Nuam.</w:t>
      </w:r>
    </w:p>
    <w:p>
      <w:pPr>
        <w:spacing w:before="0" w:after="80"/>
        <w:jc w:val="left"/>
      </w:pPr>
    </w:p>
    <w:p>
      <w:pPr>
        <w:pStyle w:val="Heading1"/>
        <w:shd w:val="clear" w:color="auto" w:fill="1F4E79"/>
        <w:spacing w:before="320" w:after="160"/>
        <w:ind w:left="227"/>
      </w:pPr>
      <w:r>
        <w:rPr>
          <w:rFonts w:ascii="Arial" w:hAnsi="Arial"/>
          <w:b/>
          <w:color w:val="FFFFFF"/>
          <w:sz w:val="26"/>
        </w:rPr>
        <w:t>INNOVACIÓN</w:t>
      </w:r>
    </w:p>
    <w:p>
      <w:pPr>
        <w:pStyle w:val="Heading2"/>
        <w:spacing w:before="200" w:after="80"/>
      </w:pPr>
      <w:r>
        <w:rPr>
          <w:rFonts w:ascii="Arial" w:hAnsi="Arial"/>
          <w:b/>
          <w:color w:val="2E75B6"/>
          <w:sz w:val="22"/>
        </w:rPr>
        <w:t xml:space="preserve">1.  </w:t>
      </w:r>
      <w:r>
        <w:rPr>
          <w:rFonts w:ascii="Arial" w:hAnsi="Arial"/>
          <w:b/>
          <w:color w:val="1F4E79"/>
          <w:sz w:val="22"/>
        </w:rPr>
        <w:t>DF Lab Opinión/ El desafío de la IA es la organización</w:t>
      </w:r>
    </w:p>
    <w:p>
      <w:pPr>
        <w:spacing w:before="40" w:after="60"/>
        <w:ind w:left="283"/>
      </w:pPr>
      <w:r>
        <w:rPr>
          <w:rFonts w:ascii="Arial" w:hAnsi="Arial"/>
          <w:color w:val="404040"/>
          <w:sz w:val="21"/>
        </w:rPr>
        <w:t>Hernán Orellana, socio de AdapsysAI y director de Bci, sostiene que el principal obstáculo para escalar la inteligencia artificial en las empresas chilenas no es tecnológico ni presupuestario, sino organizacional: el 70% de las empresas sigue en etapa de exploración y menos del 5% ha logrado escalar iniciativas con retorno medible. Las barreras dominantes son la gobernanza de datos, la resistencia cultural y la fragmentación de sistemas, lo que exige que los directorios asuman la IA como agenda estratégica y no la deleguen al área de TI. El autor propone estructurar un sistema de gobierno de IA con tres horizontes —adoptar, transformar y reinventar— y advierte que Chile no está estructuralmente atrasado, pero enfrenta una curva de adopción más lenta que los referentes globales.</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Fármaco descubierto con IA revierte signos biológicos de envejecimiento en estudio, según biotech</w:t>
      </w:r>
    </w:p>
    <w:p>
      <w:pPr>
        <w:spacing w:before="40" w:after="60"/>
        <w:ind w:left="283"/>
      </w:pPr>
      <w:r>
        <w:rPr>
          <w:rFonts w:ascii="Arial" w:hAnsi="Arial"/>
          <w:color w:val="404040"/>
          <w:sz w:val="21"/>
        </w:rPr>
        <w:t>Un estudio de fase intermedia publicado en Nature Biotechnology mostró que Rentosertib, fármaco experimental de Insilico Medicine diseñado con inteligencia artificial para tratar la fibrosis pulmonar, redujo la edad biológica promedio de los pacientes en hasta seis años cuatro semanas después de la dosis inicial, medida a través de seis 'relojes de envejecimiento' distintos. El análisis incluyó solo 42 pacientes y la compañía advierte que los resultados son preliminares con efectos a largo plazo desconocidos, aunque el CEO Alex Zhavoronkov plantea que abren la puerta para que los médicos prescriban el fármaco para enfermedades relacionadas con la edad una vez aprobado. Rentosertib está actualmente en un ensayo clínico de fase avanzada en China para fibrosis pulmonar idiopática, y la empresa planea realizar análisis similares de edad biológica para al menos la mitad de su cartera de fármacos en desarrollo.</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Cómo Fintual logró instalar una cultura de IA y generar proyectos</w:t>
      </w:r>
    </w:p>
    <w:p>
      <w:pPr>
        <w:spacing w:before="40" w:after="60"/>
        <w:ind w:left="283"/>
      </w:pPr>
      <w:r>
        <w:rPr>
          <w:rFonts w:ascii="Arial" w:hAnsi="Arial"/>
          <w:color w:val="404040"/>
          <w:sz w:val="21"/>
        </w:rPr>
        <w:t>La fintech Fintual organizó una 'AI Week' en la que sus 110 trabajadores pausaron sus labores durante una semana para capacitarse y desarrollar proyectos propios con inteligencia artificial, logrando 90 participantes activos y 93 iniciativas, de las cuales 29 se presentaron en un demo day. El principal resultado fue instalar la IA como herramienta básica de trabajo, con un aumento en el índice de confianza en el uso de IA de 6,6 a 7,1 en los siguientes tres meses. La head of people de Fintual destaca que aprender haciendo supera a la capacitación tradicional, pero advierte que el gran desafío es convertir los experimentos iniciales en hábitos sostenibles dentro de la organización.</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Startup chilena MineWatch levanta capital con Alza para llegar a las faenas subterráneas de Perú y México</w:t>
      </w:r>
    </w:p>
    <w:p>
      <w:pPr>
        <w:spacing w:before="40" w:after="60"/>
        <w:ind w:left="283"/>
      </w:pPr>
      <w:r>
        <w:rPr>
          <w:rFonts w:ascii="Arial" w:hAnsi="Arial"/>
          <w:color w:val="404040"/>
          <w:sz w:val="21"/>
        </w:rPr>
        <w:t>MineWatch, startup fundada en 2022 que desarrolla redes inalámbricas de monitoreo en tiempo real para minas subterráneas, cerró una ronda de US$ 900.000 con el fondo Alza Mining Tech para expandirse a Perú y México. Su tecnología utiliza nodos de radiofrecuencia a batería —sin cables ni electricidad— que iluminan túneles con cuatro dispositivos por kilómetro, permitiendo rastrear equipos y personas en zonas donde la conectividad tradicional es inviable o costosa. La empresa ya opera en El Teniente de Codelco con contratistas como DMC Mining y Mies, y acaba de instalar su primera faena en Cerro Lindo, Perú, con un equipo de 18 personas y conversaciones avanzadas con grandes mineras peruanas.</w:t>
      </w:r>
    </w:p>
    <w:p>
      <w:pPr>
        <w:spacing w:before="0" w:after="80"/>
        <w:jc w:val="left"/>
      </w:pPr>
    </w:p>
    <w:p>
      <w:pPr>
        <w:pStyle w:val="Heading1"/>
        <w:shd w:val="clear" w:color="auto" w:fill="1F4E79"/>
        <w:spacing w:before="320" w:after="160"/>
        <w:ind w:left="227"/>
      </w:pPr>
      <w:r>
        <w:rPr>
          <w:rFonts w:ascii="Arial" w:hAnsi="Arial"/>
          <w:b/>
          <w:color w:val="FFFFFF"/>
          <w:sz w:val="26"/>
        </w:rPr>
        <w:t>OPINIÓN</w:t>
      </w:r>
    </w:p>
    <w:p>
      <w:pPr>
        <w:pStyle w:val="Heading2"/>
        <w:spacing w:before="200" w:after="80"/>
      </w:pPr>
      <w:r>
        <w:rPr>
          <w:rFonts w:ascii="Arial" w:hAnsi="Arial"/>
          <w:b/>
          <w:color w:val="2E75B6"/>
          <w:sz w:val="22"/>
        </w:rPr>
        <w:t xml:space="preserve">1.  </w:t>
      </w:r>
      <w:r>
        <w:rPr>
          <w:rFonts w:ascii="Arial" w:hAnsi="Arial"/>
          <w:b/>
          <w:color w:val="1F4E79"/>
          <w:sz w:val="22"/>
        </w:rPr>
        <w:t>Presupuesto 2027: Fin del voluntarismo fiscal</w:t>
      </w:r>
    </w:p>
    <w:p>
      <w:pPr>
        <w:spacing w:before="40" w:after="60"/>
        <w:ind w:left="283"/>
      </w:pPr>
      <w:r>
        <w:rPr>
          <w:rFonts w:ascii="Arial" w:hAnsi="Arial"/>
          <w:color w:val="404040"/>
          <w:sz w:val="21"/>
        </w:rPr>
        <w:t>La discusión del Presupuesto 2027 se da en un contexto de crecimiento potencial estancado, con los Comités Consultivos proyectando un PIB de 2,6% para 2027 y un precio del cobre de US$ 5,37, lo que acota el espacio fiscal y exige proyecciones de ingresos realistas que corrijan las sobreestimaciones de años anteriores. El Consejo Fiscal Autónomo alerta que la deuda bruta se acerca al techo prudencial del 45% del PIB hacia fines de la década si no se toman medidas de contención, lo que hace inviable sostener presupuestos expansivos basados en supuestos optimistas. El autor argumenta que la reactivación no vendrá del voluntarismo fiscal sino de la combinación entre un Estado eficiente, libre de 'permisología', y la apertura a la inversión privada como socio estratégico en megaproyectos.</w:t>
      </w:r>
    </w:p>
    <w:p>
      <w:pPr>
        <w:spacing w:before="0" w:after="80"/>
        <w:jc w:val="left"/>
      </w:pPr>
    </w:p>
    <w:sectPr w:rsidR="00FC693F" w:rsidRPr="0006063C" w:rsidSect="00034616">
      <w:headerReference w:type="default" r:id="rId9"/>
      <w:footerReference w:type="default" r:id="rId10"/>
      <w:pgSz w:w="12240" w:h="15840"/>
      <w:pgMar w:top="124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999999"/>
        <w:sz w:val="18"/>
      </w:rPr>
      <w:t xml:space="preserve">Página </w:t>
      <w:fldChar w:fldCharType="begin"/>
    </w:r>
    <w:r>
      <w:instrText>PAGE</w:instrText>
    </w:r>
    <w:r>
      <w:fldChar w:fldCharType="end"/>
    </w:r>
    <w:r>
      <w:rPr>
        <w:rFonts w:ascii="Arial" w:hAnsi="Arial"/>
        <w:color w:val="999999"/>
        <w:sz w:val="18"/>
      </w:rPr>
      <w:t xml:space="preserve"> de </w:t>
      <w:fldChar w:fldCharType="begin"/>
    </w:r>
    <w:r>
      <w:instrText>NUMPAGES</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color w:val="1F4E79"/>
        <w:sz w:val="18"/>
      </w:rPr>
      <w:t>Resumen Diario Financiero  ·  7 de septiembre de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