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19 De Agosto De 2026</w:t>
      </w:r>
    </w:p>
    <w:p>
      <w:pPr>
        <w:jc w:val="center"/>
      </w:pPr>
      <w:r>
        <w:rPr>
          <w:rFonts w:ascii="Arial" w:hAnsi="Arial"/>
          <w:color w:val="999999"/>
          <w:sz w:val="20"/>
        </w:rPr>
        <w:t>6 secciones  ·  15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se hunde $ 10 mientras las tasas largas de EEUU caen fuerte desde sus máximos tras anuncio del Departamento del Tesoro</w:t>
      </w:r>
    </w:p>
    <w:p>
      <w:pPr>
        <w:spacing w:before="40" w:after="60"/>
        <w:ind w:left="283"/>
      </w:pPr>
      <w:r>
        <w:rPr>
          <w:rFonts w:ascii="Arial" w:hAnsi="Arial"/>
          <w:color w:val="404040"/>
          <w:sz w:val="21"/>
        </w:rPr>
        <w:t>El dólar cayó $10,1 hasta los $917,9 durante la mañana del miércoles, después de que el Tesoro de EEUU anunciara que duplicaría el volumen de operaciones de recompra de bonos de largo plazo, pasando de US$2.000 millones a al menos US$4.000 millones por operación. Esta medida alivió las tasas largas, con el rendimiento del bono a 30 años aflojando 8,2 puntos base y el dollar index retrocediendo 0,7% hasta 99 puntos. El precio del cobre revirtió sus pérdidas iniciales y subía 0,3% hasta superar los US$14.000 por tonelada. La incertidumbre en Medio Oriente —con Irán considerando atacar objetivos militares en Europa— mantenía el petróleo Brent en torno a US$91 por barril, mientras a las 14:00 se publicarían las minutas de la reunión de julio de la Fed.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con nueva alza y el IPSA supera los 11.200 puntos con impulso de SQM tras unos resultados estelares</w:t>
      </w:r>
    </w:p>
    <w:p>
      <w:pPr>
        <w:spacing w:before="40" w:after="60"/>
        <w:ind w:left="283"/>
      </w:pPr>
      <w:r>
        <w:rPr>
          <w:rFonts w:ascii="Arial" w:hAnsi="Arial"/>
          <w:color w:val="404040"/>
          <w:sz w:val="21"/>
        </w:rPr>
        <w:t>La Bolsa de Santiago abrió al alza con el S&amp;P IPSA avanzando 0,5% hasta los 11.241 puntos, encaminado a su quinta sesión consecutiva de ganancias. SQM-B lideró el selectivo con un alza de 1,2% tras reportar resultados trimestrales que superaron ampliamente las estimaciones: ingresos de US$2.468 millones (+137%), Ebitda de US$1.318 millones (+328%) y utilidades netas de US$660 millones (+650%). En Wall Street, el S&amp;P 500 subía 0,4% favorecido por el anuncio del Tesoro de EEUU de recomprar bonos de largo plazo, mientras la jornada asiática fue adversa, con el Nikkei cayendo 3,2% y el CSI 300 retrocediendo 2,9%.</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Las acciones del fabricante chino de los robots humanoides que bailan y boxean se disparan un 600% en su debut bursátil</w:t>
      </w:r>
    </w:p>
    <w:p>
      <w:pPr>
        <w:spacing w:before="40" w:after="60"/>
        <w:ind w:left="283"/>
      </w:pPr>
      <w:r>
        <w:rPr>
          <w:rFonts w:ascii="Arial" w:hAnsi="Arial"/>
          <w:color w:val="404040"/>
          <w:sz w:val="21"/>
        </w:rPr>
        <w:t>Unitree, fabricante chino de robots humanoides con sede en Hangzhou, debutó en la bolsa de Shanghái con un alza de hasta 629%, cerrando con un aumento de 460% y una valoración de US$50.700 millones, muy por encima de los US$9.000 millones previos a la IPO, en la que recaudó algo más de US$900 millones. La demanda minorista superó 5.500 veces la oferta, impulsada por el alto reconocimiento de la marca en China continental gracias a presentaciones virales en galas del Año Nuevo Lunar. La empresa —primera china especializada exclusivamente en robots humanoides en el mercado de acciones tipo A— destinará cerca de dos tercios de lo recaudado a I+D, fabricación y desarrollo de modelos de IA, a pesar de que la FCC de EEUU prohibió el mes pasado la importación de robots humanoides chinos, mercado que representa entre el 13% y el 18% de sus ingresos.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Mauricio Ortiz, consultor de centros comerciales: “Ya no hay espacio para que sigan desarrollándose grandes operadores”</w:t>
      </w:r>
    </w:p>
    <w:p>
      <w:pPr>
        <w:spacing w:before="40" w:after="60"/>
        <w:ind w:left="283"/>
      </w:pPr>
      <w:r>
        <w:rPr>
          <w:rFonts w:ascii="Arial" w:hAnsi="Arial"/>
          <w:color w:val="404040"/>
          <w:sz w:val="21"/>
        </w:rPr>
        <w:t>El exejecutivo de Falabella, hoy socio de MO Global Advisors, donde asesora a firmas del sector, plantea que la industria se está moviendo hacia proyectos que priorizan la conveniencia y la experiencia de los consumidores. El fundador de MO Global Advisors, Mauricio Ortiz. Foto: Julio Castro. En 2022,el exgerente de Open Plaza (Grupo Falabella), Mauricio Ortiz, decidió abrir su propia consultora, que denominó como MO Global Advisors,con la cual hoy se dedica a asesorar a decenas de operadores de centros comerciales en el desarrollo de sus proyectos.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Se enciende conflicto por transbordadores australes: navieras acusan sobrecostos de $ 5 mil millones y advierten alza de hasta 20% en tarifas</w:t>
      </w:r>
    </w:p>
    <w:p>
      <w:pPr>
        <w:spacing w:before="40" w:after="60"/>
        <w:ind w:left="283"/>
      </w:pPr>
      <w:r>
        <w:rPr>
          <w:rFonts w:ascii="Arial" w:hAnsi="Arial"/>
          <w:color w:val="404040"/>
          <w:sz w:val="21"/>
        </w:rPr>
        <w:t>Un conflicto regulatorio entre navieras australes y Directemar escaló a la Corte Suprema mediante 19 acciones de protección que abarcan 20 transbordadores, luego de que Dirsomar exigiera aumentar la dotación mínima de tripulación de 5 a 7 personas por zarpe, lo que en la práctica obliga a contratar cerca de 8 oficiales adicionales por embarcación para mantener operaciones 24/7. El impacto financiero calculado por el sector es de $5.000 millones anuales: los costos laborales subirían 46,3%, los costos operacionales totales hasta 20%, y las tarifas deberían aumentar entre 13,9% y 20% para mantener el equilibrio financiero; Naviera Cruz del Sur proyecta un sobrecosto de $1.920 millones y el Grupo CPT uno superior a $3.000 millones. La medida afecta 25 embarcaciones en más de 11 rutas en Los Lagos y Aysén, y genera alarma en los municipios de Chiloé por el riesgo de encarecimiento de abastecimiento y eventual reducción de traslados médicos de urgencia desde las islas.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Parte la negociación colectiva más importante del año en Minera Escondida y el sindicato pide una "repartición justa de las riquezas con los trabajadores"</w:t>
      </w:r>
    </w:p>
    <w:p>
      <w:pPr>
        <w:spacing w:before="40" w:after="60"/>
        <w:ind w:left="283"/>
      </w:pPr>
      <w:r>
        <w:rPr>
          <w:rFonts w:ascii="Arial" w:hAnsi="Arial"/>
          <w:color w:val="404040"/>
          <w:sz w:val="21"/>
        </w:rPr>
        <w:t>El sindicato N°2 de Supervisores de Minera Escondida, con 1.002 socios activos, formalizó el 14 de agosto su propuesta de negociación colectiva —considerada la más importante del año en la gran minería—, con el contrato vigente venciendo el 30 de septiembre para cubrir el período 2026-2028. El presidente Alexis Barrera indicó que buscan nivelar los beneficios con el sindicato N°1 en un contexto de producción récord de 1,3 millones de toneladas de cobre en el año fiscal 2025 y precios históricos del metal, mientras la empresa responde señales de tensión previas, incluyendo cuestionamientos por despidos en abril. El proceso anterior, en 2023, se cerró tras seis días de mediación con un bono de término de $17,8 millones y créditos blandos de $3 millones, y coincide con acciones sindicales paralelas de trabajadores de BHP en Australia, aunque ambos procesos son independientes.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Las utilidades de SQM se disparan más de 600% en el segundo trimestre y superan las estimaciones ante mayores ventas y precios del litio</w:t>
      </w:r>
    </w:p>
    <w:p>
      <w:pPr>
        <w:spacing w:before="40" w:after="60"/>
        <w:ind w:left="283"/>
      </w:pPr>
      <w:r>
        <w:rPr>
          <w:rFonts w:ascii="Arial" w:hAnsi="Arial"/>
          <w:color w:val="404040"/>
          <w:sz w:val="21"/>
        </w:rPr>
        <w:t>SQM reportó una utilidad neta de US$660 millones en el segundo trimestre de 2026, superando las estimaciones de US$554 millones y representando una expansión de más de 600% respecto al año anterior, con ingresos trimestrales de US$2.468 millones por encima del consenso de US$2.290 millones. El precio promedio del litio de Novandino alcanzó US$21,8 por kilogramo en el trimestre (+23% respecto a Q1 y +160% en doce meses), con volúmenes récord de 84,1 mil toneladas de LCE —impulsados por el mercado de sistemas de almacenamiento de energía (BESS)— y el negocio de litio concentrando el 78% del margen bruto semestral. La empresa proyecta un capex de US$3.000 millones para 2026-2028, con el proyecto Salar Futuro (US$3.000 millones de inversión, en evaluación ambiental) y la expansión de Mt. Holland en Australia (US$450-500 millones atribuibles a SQM) como principales hitos de crecimiento.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Canciller Pérez Mackenna en inicio de gira por China: “Queremos mantener una relación constructiva y de largo plazo”</w:t>
      </w:r>
    </w:p>
    <w:p>
      <w:pPr>
        <w:spacing w:before="40" w:after="60"/>
        <w:ind w:left="283"/>
      </w:pPr>
      <w:r>
        <w:rPr>
          <w:rFonts w:ascii="Arial" w:hAnsi="Arial"/>
          <w:color w:val="404040"/>
          <w:sz w:val="21"/>
        </w:rPr>
        <w:t>En su primer día en Beijing, se reunió con su par chino, Wang Yi, con el viceprimer ministro del Consejo de Estado, He Lifeng; y con el ministro de Ciencia, Yin Hejun. Una intensa jornada de reuniones desarrolló en Beijing el ministro de Relaciones Exteriores, Francisco Pérez Mackenna, al iniciar una gira por Chinapara afianzar las relaciones bilaterales y abrir oportunidades para el comercio y la inversión, en medio de la escalada arancelaria que impulsa Estados Unidos. Pérez Mackenna inició las actividades conencuentros con su par, Wang Yi; con el viceprimer ministro del Consejo de Estado, He Lifeng; con el viceministro de la Comisión Nacional de Desarrollo y Reforma, Zhou Haibing; y con el ministro de Ciencia, Yin Hejun.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Quiroz acelera plan de venta de activos prescindibles del Estado para inyectar recursos a los fondos soberanos</w:t>
      </w:r>
    </w:p>
    <w:p>
      <w:pPr>
        <w:spacing w:before="40" w:after="60"/>
        <w:ind w:left="283"/>
      </w:pPr>
      <w:r>
        <w:rPr>
          <w:rFonts w:ascii="Arial" w:hAnsi="Arial"/>
          <w:color w:val="404040"/>
          <w:sz w:val="21"/>
        </w:rPr>
        <w:t>El ministro de Hacienda Jorge Quiroz anunció la aceleración, en las próximas semanas, del plan de venta de activos prescindibles del Estado —participaciones societarias, inmuebles y terrenos— para recomponer el FEES, que a junio de 2026 acumulaba apenas US$3.884 millones equivalentes a cerca del 1% del PIB, muy por debajo del nivel óptimo de 5%-7% recomendado por el CFA y el FMI. Quiroz descartó que esto implique destruir patrimonio estatal, señalando que se trata de "monetizar" activos e invertirlos en instrumentos que renten y estén disponibles para contingencias, con licitaciones transparentes y competitivas. Adicionalmente confirmó que esta semana habrá un nuevo aumento en los precios de los combustibles de aproximadamente $30 por litro en bencinas y $90 en diésel, segunda alza consecutiva motivada por la guerra en Medio Oriente.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Rodrigo Aravena, economista jefe del Banco de Chile: “Uno debiese esperar de todas maneras mejores cifras hacia el futuro”</w:t>
      </w:r>
    </w:p>
    <w:p>
      <w:pPr>
        <w:spacing w:before="40" w:after="60"/>
        <w:ind w:left="283"/>
      </w:pPr>
      <w:r>
        <w:rPr>
          <w:rFonts w:ascii="Arial" w:hAnsi="Arial"/>
          <w:color w:val="404040"/>
          <w:sz w:val="21"/>
        </w:rPr>
        <w:t>El experto analizó el PIB del segundo trimestre y prevé que el crecimiento sea superior al 1% este año. Eleconomista jefe de Banco de Chile, Rodrigo Aravena, es claro en decir que a la economía chilena no le fue bien en el primer semestre del año. En entrevista enDF al Cierre, el analista abordóel retroceso de 0,2% que tuvo el Producto Interno Bruto (PIB) en el segundo trimestrey explicó que, al comparar el cierre de 2025 con el primer trimestre y el segundo trimestre, la economía registró una menor producción.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Ministerio del Trabajo fija nuevas reglas para capacitación en seguridad laboral: cursos deberán durar al menos ocho horas</w:t>
      </w:r>
    </w:p>
    <w:p>
      <w:pPr>
        <w:spacing w:before="40" w:after="60"/>
        <w:ind w:left="283"/>
      </w:pPr>
      <w:r>
        <w:rPr>
          <w:rFonts w:ascii="Arial" w:hAnsi="Arial"/>
          <w:color w:val="404040"/>
          <w:sz w:val="21"/>
        </w:rPr>
        <w:t>El Ministerio del Trabajo aprobó una guía técnica que entra en vigencia el 1° de noviembre y que regula la obligación de capacitar a los trabajadores en prevención de riesgos laborales conforme al DS N°44, estableciendo que los cursos deben durar un mínimo de 8 horas y abarcar contenidos como identificación de peligros, medidas preventivas, gestión de emergencias y señalización contra incendios. La capacitación es obligatoria para todos los trabajadores sin distinción de cargo, jornada o antigüedad, y la responsabilidad de cumplimiento recae directamente en el empleador, que deberá mantener registros verificables de asistencia, evaluaciones y certificados. A diferencia de instancias anteriores, la sola participación no bastará: deben existir evaluaciones —cuestionarios, ejercicios o casos prácticos— que acrediten que los trabajadores comprenden los riesgos de su entorno laboral.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De crecer 1% o menos este año a 3% el próximo: mercado apuesta por un repunte tras nueva caída del PIB</w:t>
      </w:r>
    </w:p>
    <w:p>
      <w:pPr>
        <w:spacing w:before="40" w:after="60"/>
        <w:ind w:left="283"/>
      </w:pPr>
      <w:r>
        <w:rPr>
          <w:rFonts w:ascii="Arial" w:hAnsi="Arial"/>
          <w:color w:val="404040"/>
          <w:sz w:val="21"/>
        </w:rPr>
        <w:t>El PIB de Chile cayó 0,2% en el segundo trimestre de 2026 (tras -0,3% en el primero), con el consumo de hogares desacelerándose de 2,5% a 1,2% y la inversión sin variación, resultado que la mayoría de los analistas considera como al menos una cuasi recesión. La minería lideró las caídas con -6,4% (cuatro trimestres consecutivos en rojo), seguida por pesca (-5,9%) y construcción (-3,2%), mientras servicios personales y comercio aportaron crecimientos de 2,4% cada uno. Las proyecciones de crecimiento para 2026 van de 0,8% a 1,3%, pero el consenso apunta a una expansión de entre 3,0% y 3,5% en 2027, impulsada por la Ley de Reconstrucción, el precio récord del cobre (US$6,74/libra) y un abultado catastro de proyectos de inversión en minería y energía.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Banco Popular de China lanza su primer plan exclusivo en una década con foco en internacionalizar el yuan</w:t>
      </w:r>
    </w:p>
    <w:p>
      <w:pPr>
        <w:spacing w:before="40" w:after="60"/>
        <w:ind w:left="283"/>
      </w:pPr>
      <w:r>
        <w:rPr>
          <w:rFonts w:ascii="Arial" w:hAnsi="Arial"/>
          <w:color w:val="404040"/>
          <w:sz w:val="21"/>
        </w:rPr>
        <w:t>El Banco Popular de China presentó por primera vez en al menos una década un plan exclusivo de política monetaria para 2026-2030, dentro del XV Plan Quinquenal, con foco en la internacionalización del yuan mediante mayor uso en comercio e inversión global y el fortalecimiento del sistema de pago transfronterizo CIPS. En el primer semestre de 2026 el BPC facilitó la emisión de bonos panda por más de 160.000 millones de yuanes (~US$23.700 millones) a entidades extranjeras, y autorizó al Deutsche Bank como primer banco de compensación del renminbi en la Unión Europea, sumándose al Standard Bank de África como nuevos nodos del sistema. En América Latina, Brasil planea emitir bonos panda anuales por ~US$740 millones a tasas de 1,7%-2% —sensiblemente por debajo de la deuda en dólares—, y países como Eslovenia, Kazajistán e Indonesia también debutaron en el mercado de bonos chinos en 2026.</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OpenAI reportó un crecimiento tibio en el segundo trimestre y Anthropic la superó en ingresos por primera vez</w:t>
      </w:r>
    </w:p>
    <w:p>
      <w:pPr>
        <w:spacing w:before="40" w:after="60"/>
        <w:ind w:left="283"/>
      </w:pPr>
      <w:r>
        <w:rPr>
          <w:rFonts w:ascii="Arial" w:hAnsi="Arial"/>
          <w:color w:val="404040"/>
          <w:sz w:val="21"/>
        </w:rPr>
        <w:t>OpenAI informó ingresos de US$6.700 millones en el segundo trimestre de 2026, un alza de 18% frente a Q1 pero por debajo de las expectativas, mientras Anthropic más que duplicó sus ventas hasta US$11.600 millones, superando a OpenAI en ingresos por primera vez; el éxito de Claude Code fue señalado como factor central de esa diferencia. Las pérdidas operativas de OpenAI se ampliaron de US$9.300 millones a US$12.300 millones entre trimestres, alejándola de la rentabilidad de cara a su esperada OPI, lo que motivó una reestructuración de liderazgo con la salida de su chief revenue officer, director de operaciones y otra ejecutiva senior. OpenAI enfrenta además la migración de clientes corporativos hacia modelos más baratos de China, problemas de seguridad en sus agentes autónomos y la presión de precios que la llevó a recortar tarifas en dos de sus modelos más recientes.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Economía estancada: ¿reactivación en 2027?</w:t>
      </w:r>
    </w:p>
    <w:p>
      <w:pPr>
        <w:spacing w:before="40" w:after="60"/>
        <w:ind w:left="283"/>
      </w:pPr>
      <w:r>
        <w:rPr>
          <w:rFonts w:ascii="Arial" w:hAnsi="Arial"/>
          <w:color w:val="404040"/>
          <w:sz w:val="21"/>
        </w:rPr>
        <w:t>El artículo de opinión analiza el estancamiento económico de Chile tras dos trimestres consecutivos de caída del PIB (-0,3% en Q1 y -0,2% en Q2 de 2026), con desempleo de 9,4% —máximo en casi cinco años— en un contexto donde el cobre marcó récord histórico de US$6,74 la libra pero el petróleo Brent superó los US$125 en abril por la guerra en Irán. Identifica tres factores que sustentan el optimismo para 2027: la Ley de Reconstrucción Nacional —aprobada por el Tribunal Constitucional—, el precio récord del cobre y la posibilidad de recortes de tasas del Banco Central desde el actual 4,5%, con el mercado proyectando un crecimiento de 2,8% para ese año. Sin embargo, advierte que ninguno de estos factores opera de forma automática y que existe un déficit de herramientas contracíclicas de corto plazo —especialmente para las PYME—, lo que plantea el desafío de gestionar las expectativas ciudadanas mientras se espera que la recuperación se materialice.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19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