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4 De Mayo De 2026</w:t>
      </w:r>
    </w:p>
    <w:p>
      <w:pPr>
        <w:jc w:val="center"/>
      </w:pPr>
      <w:r>
        <w:rPr>
          <w:rFonts w:ascii="Arial" w:hAnsi="Arial"/>
          <w:color w:val="999999"/>
          <w:sz w:val="20"/>
        </w:rPr>
        <w:t>6 secciones  ·  27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Los inversionistas en renta fija en Chile están divididos sobre el impacto de la guerra en Medio Oriente</w:t>
      </w:r>
    </w:p>
    <w:p>
      <w:pPr>
        <w:spacing w:before="40" w:after="60"/>
        <w:ind w:left="283"/>
      </w:pPr>
      <w:r>
        <w:rPr>
          <w:rFonts w:ascii="Arial" w:hAnsi="Arial"/>
          <w:color w:val="404040"/>
          <w:sz w:val="21"/>
        </w:rPr>
        <w:t>Con el conflicto en Medio Oriente prolongándose por tercer mes y el Banco Central advirtiendo incertidumbre sin precedentes, los inversionistas del mercado de renta fija chileno están divididos: el 44% de analistas encuestados por Bloomberg prevé que las tasas de bonos en pesos a dos años suban entre 5 y 10 puntos básicos si el estrecho de Ormuz permanece cerrado todo el mes. Los rendimientos de bonos en pesos a dos años ya subieron 7 puntos básicos la semana pasada hasta el 4,65%, mientras que casi tres cuartas partes de los encuestados prefieren bonos denominados en UF ante la expectativa de mayor inflación. El gobierno ya autorizó un alza de gasolina de casi 50%, y el banco central mantiene tasas en 4,5%, aunque Barclays anticipa dos alzas de 25 puntos básicos antes de fin de año.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Dólar sube a cerca de $ 910 mientras inversionistas digieren las últimas noticias sobre el conflicto en Medio Oriente</w:t>
      </w:r>
    </w:p>
    <w:p>
      <w:pPr>
        <w:spacing w:before="40" w:after="60"/>
        <w:ind w:left="283"/>
      </w:pPr>
      <w:r>
        <w:rPr>
          <w:rFonts w:ascii="Arial" w:hAnsi="Arial"/>
          <w:color w:val="404040"/>
          <w:sz w:val="21"/>
        </w:rPr>
        <w:t>El dólar subió $7 hasta $908,2 en los primeros negocios de mayo, mientras el mercado procesaba señales mixtas sobre el conflicto en el Golfo Pérsico, que incluyeron nuevos incidentes violentos y el anuncio del 'Proyecto Libertad' de Trump para escoltar barcos por el estrecho de Ormuz. El petróleo Brent repuntó 2,5% hasta US$110,8 por barril, mientras el cobre retrocedió 1,3% a US$5,91 la libra. Esto ocurrió tras conocerse que el Imacec de marzo registró una caída de 0,1% interanual, muy por debajo de lo esperado, agravando el panorama económico local.</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IPSA vuelve en rojo del fin de semana largo: pierde los 10.800 puntos tras negativo Imacec de marzo e incertidumbre en Medio Oriente</w:t>
      </w:r>
    </w:p>
    <w:p>
      <w:pPr>
        <w:spacing w:before="40" w:after="60"/>
        <w:ind w:left="283"/>
      </w:pPr>
      <w:r>
        <w:rPr>
          <w:rFonts w:ascii="Arial" w:hAnsi="Arial"/>
          <w:color w:val="404040"/>
          <w:sz w:val="21"/>
        </w:rPr>
        <w:t>El S&amp;P IPSA cayó 1% a 10.798,64 puntos en el primer lunes de mayo, presionado principalmente por Bci (-2,7%), Santander (-1,6%) y Cencosud (-1,5%), luego de que el Imacec de marzo decepcionó con una caída interanual y la crisis del Golfo Pérsico continúa sin resolución clara. El índice local acumuló su segunda pérdida semanal superior al 2% en lo que va del conflicto, lo que dificulta la recuperación de los activos chilenos. En contraste, Wall Street cerró el viernes en máximos históricos y el Nasdaq avanzaba levemente este lunes, evidenciando la divergencia entre los mercados locales e internacionales.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Fernando Massú, presidente de Banco BTG Pactual Chile: “Hay que descartar la idea de que si aumentamos impuestos necesariamente vamos a recaudar más”</w:t>
      </w:r>
    </w:p>
    <w:p>
      <w:pPr>
        <w:spacing w:before="40" w:after="60"/>
        <w:ind w:left="283"/>
      </w:pPr>
      <w:r>
        <w:rPr>
          <w:rFonts w:ascii="Arial" w:hAnsi="Arial"/>
          <w:color w:val="404040"/>
          <w:sz w:val="21"/>
        </w:rPr>
        <w:t>El ejecutivo sostuvo que la rebaja de impuestos y la invariabilidad tributaria son dos elementos clave de la reforma del gobierno de Kast que, a su juicio, impulsarán la inversión, el crecimiento y generará más empleo en los próximos años. Cuando José Antonio Kast se convirtió en Presidente electo el 14 de diciembre, estuvo acompañado por su familia, el equipo de campaña, militantes y un selecto grupo de figuras del mercado financiero, quienes tempranamente apoyaron la candidatura del republicano a La Moneda. Uno de ellos fueFernando Massú, presidente de Banco BTG Pactual Chile, vicepresidente de Clínica Las Condes y director de Parque Arauco e Hites, quien ya venía siguiendo de cerca al entonces candidato.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Holding bursátil nuam espera iniciar en junio nueva plataforma tecnológica de negociación de acciones en Chile</w:t>
      </w:r>
    </w:p>
    <w:p>
      <w:pPr>
        <w:spacing w:before="40" w:after="60"/>
        <w:ind w:left="283"/>
      </w:pPr>
      <w:r>
        <w:rPr>
          <w:rFonts w:ascii="Arial" w:hAnsi="Arial"/>
          <w:color w:val="404040"/>
          <w:sz w:val="21"/>
        </w:rPr>
        <w:t>El holding bursátil nuam prevé lanzar en junio en Chile la nueva plataforma tecnológica de negociación de renta variable desarrollada por Nasdaq, que ya opera desde marzo en Colombia y desde la semana pasada en Perú, buscando que los tres mercados andinos compartan el mismo sistema y reglamento. El presidente de nuam, Mauricio Rosillo, destacó que en las próximas dos semanas el foco estará en reuniones con intermediarios chilenos para estar listos en junio, lo que representará un gran hito al tener la misma plataforma en los tres países durante el primer semestre. Sin embargo, la integración operativa de renta variable entre Chile, Perú y Colombia sigue pendiente de tramitación regulatoria, sin fecha definida.</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ENAP sostiene que en enero identificaron inconsistencias en información ambiental y descarta impacto en la salud de las personas</w:t>
      </w:r>
    </w:p>
    <w:p>
      <w:pPr>
        <w:spacing w:before="40" w:after="60"/>
        <w:ind w:left="283"/>
      </w:pPr>
      <w:r>
        <w:rPr>
          <w:rFonts w:ascii="Arial" w:hAnsi="Arial"/>
          <w:color w:val="404040"/>
          <w:sz w:val="21"/>
        </w:rPr>
        <w:t>ENAP informó que en enero de 2026, durante la revisión de reportes anuales del Plan de Prevención y Descontaminación Atmosférica (PPDA), la refinería Aconcagua detectó inconsistencias en los datos de emisiones de SO2 reportados a la Superintendencia del Medio Ambiente (SMA), lo que llevó al directorio a presentar una denuncia al Ministerio Público y notificar formalmente a la SMA. La empresa enfatizó que no ha habido eventos de contaminación que superen las normas de calidad del aire vigentes desde 2019 a la fecha, y que durante 2025 y lo que va de 2026 los límites del PPDA han sido cumplidos. La SMA abrió una investigación formal y ENAP indicó que la investigación interna y la revisión de sus sistemas de control siguen en curso, sin conclusiones definitivas aún.</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Filial de SalfaCorp proyecta invertir US$ 90 millones en centro de bodegaje en Maipú</w:t>
      </w:r>
    </w:p>
    <w:p>
      <w:pPr>
        <w:spacing w:before="40" w:after="60"/>
        <w:ind w:left="283"/>
      </w:pPr>
      <w:r>
        <w:rPr>
          <w:rFonts w:ascii="Arial" w:hAnsi="Arial"/>
          <w:color w:val="404040"/>
          <w:sz w:val="21"/>
        </w:rPr>
        <w:t>La sociedad Rentas y Desarrollo Aconcagua, filial del grupo SalfaCorp, lanzó un proyecto de centro de bodegaje en el sector La Farfana de Maipú con una inversión de US$ 90 millones, que contempla 89.294 metros cuadrados distribuidos en cuatro edificaciones destinadas al almacenamiento y distribución, orientadas al arriendo a terceros. El proyecto ya cuenta con anteproyecto de edificación aprobado por la Dirección de Obras Municipales de Maipú y no requeriría evaluación ambiental según la autoridad sectorial. Esta iniciativa forma parte de la estrategia de SalfaCorp de alcanzar 300.000 m2 de bodegas multiclientes en la Región Metropolitana en alianza con DLS/Inarco, aprovechando los terrenos disponibles de ambas compañías.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José Ignacio Escobar, CEO de Colbún: “El foco va a ser Chile y Perú este año” pero “estamos mirando oportunidades de crecimiento internacional”</w:t>
      </w:r>
    </w:p>
    <w:p>
      <w:pPr>
        <w:spacing w:before="40" w:after="60"/>
        <w:ind w:left="283"/>
      </w:pPr>
      <w:r>
        <w:rPr>
          <w:rFonts w:ascii="Arial" w:hAnsi="Arial"/>
          <w:color w:val="404040"/>
          <w:sz w:val="21"/>
        </w:rPr>
        <w:t>Sobre una reforma a la distribución, dice que si bien “es muy necesaria”, se puede “partir por pasos pequeños”. Y en transmisión, desestima una carencia gigante de inversiones. Colbún contempla una inversión en activos fijos este 2026 cercana -por el momento- a US$ 300 millones y buscará este año terminar la construcción de cuatro proyectos que suman U$ 520 millones. Además, tiene más de 3.500 MW en iniciativas en desarrollo y evalúan oportunidades de crecimiento adicionales según cómo cierren contratos de suministro. Tras el “terremoto energético” que tuvo Perú el 1 de marzo (con la emergencia en el suministro de gas natural), también el foco estará en poder crecer y diversificar la posición de la firma en ese país. “El plan de inversiones va a estar muy enfocado en consolidar, potenciar y dar una respuesta clara a los clientes acá en Chile y en Perú. Y eso respaldarlo con los mejores activos disponibles en el mercado. Tenemos una cartera de proyectos en ambos países tremendamente robusta”, asegura a DF el CEO de la eléctrica, José Ignacio Escobar.</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Legendaria cadena estadounidense destaca fortaleza del fast food ante crisis en Medio Oriente y anuncia expansión en el país</w:t>
      </w:r>
    </w:p>
    <w:p>
      <w:pPr>
        <w:spacing w:before="40" w:after="60"/>
        <w:ind w:left="283"/>
      </w:pPr>
      <w:r>
        <w:rPr>
          <w:rFonts w:ascii="Arial" w:hAnsi="Arial"/>
          <w:color w:val="404040"/>
          <w:sz w:val="21"/>
        </w:rPr>
        <w:t>KFC Chile, operada por el holding Degasa, planea abrir al menos nueve nuevos locales en 2026 con el objetivo de alcanzar un local por cada 100.000 habitantes, con la meta ambiciosa de llegar a 20 aperturas en el año. La cadena, que ya cuenta con 169 locales en Chile posicionándola como segunda en participación de mercado, está adoptando un formato modular de construcción para acelerar los tiempos y reducir los costos de permisos, con su primera tienda en Príncipe de Gales inaugurada en abril con una inversión de US$ 1,3 millones. A pesar del impacto de la gripe aviar y la crisis en Medio Oriente, KFC mantuvo sus precios al consumidor estables, reconociendo que los chilenos valoran la cantidad y el precio accesible en el contexto económico actual.</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Heladería argentina Lucciano’s proyecta apertura de cuatro nuevos locales en Chile tras exitoso debut</w:t>
      </w:r>
    </w:p>
    <w:p>
      <w:pPr>
        <w:spacing w:before="40" w:after="60"/>
        <w:ind w:left="283"/>
      </w:pPr>
      <w:r>
        <w:rPr>
          <w:rFonts w:ascii="Arial" w:hAnsi="Arial"/>
          <w:color w:val="404040"/>
          <w:sz w:val="21"/>
        </w:rPr>
        <w:t>El próximo 17 de julio se cumple un año desde que la heladería argentina Lucciano’s aterrizó en Chile. Su llegada al centro comercial Parque Arauco, específicamente, no pasó desapercibida. Su diseño inmersivo, que simula algo similar a estar dentro de una nave espacial, rápidamente captó la atención del público chileno, generando extensas filas de personas a sus afueras, queriendo probar sus diferentes sabores. Originaria de Mar del Plata, y con locales en países como España, Italia, Uruguay y Estados Unidos, la marca llegó a Chile a través de una franquicia operada por el Grupo Cuatro Tiempos (que también es fundadora y administra la cafetería Rebelde Bakery &amp; Coffe, ubicada en el MUT). Juan Carlos Verme, socio del grupo, afirmó que están “satisfechos” con el resultado de Lucciano’s en Chile. En 2025, detalló, la heladería cerró con ventas de $ 565 millones. Por lo mismo, quieren ir por más. Y, para este 2026, Verme adelantó que contemplan cuatro aperturas, con una inversión cercana a US$ 1 millón. Una de ellas, en el mall Alto Las Condes.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Salmoneros apuestan a exportaciones de US$ 10 mil millones si cambios normativos logran destrabar a la industria</w:t>
      </w:r>
    </w:p>
    <w:p>
      <w:pPr>
        <w:spacing w:before="40" w:after="60"/>
        <w:ind w:left="283"/>
      </w:pPr>
      <w:r>
        <w:rPr>
          <w:rFonts w:ascii="Arial" w:hAnsi="Arial"/>
          <w:color w:val="404040"/>
          <w:sz w:val="21"/>
        </w:rPr>
        <w:t>La industria salmonera chilena, que actualmente exporta US$ 6.500 millones anuales, estima que podría alcanzar los US$ 10.000 millones si se despejan los principales cuellos de botella regulatorios, incluyendo las micro-relocalizaciones, los estudios de bancos naturales y modificaciones a la Ley Lafkenche. El presidente de SalmonChile, Patricio Melero, valoró las medidas incluidas en el proyecto de reactivación del gobierno, aunque advirtió que el impulso del sector requiere un conjunto más amplio de ajustes regulatorios. La industria enfrenta además presiones externas: el 43% de las exportaciones va a EE.UU., donde los aranceles generan impacto directo, y el conflicto en Medio Oriente ha encarecido combustibles y costos logísticos sin haberse traspasado aún a precios.</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Cristián Infante, gerente general de Arauco: “En el mismo tiempo que tramitamos MAPA en Chile, Brasil hizo tres plantas de celulosa”</w:t>
      </w:r>
    </w:p>
    <w:p>
      <w:pPr>
        <w:spacing w:before="40" w:after="60"/>
        <w:ind w:left="283"/>
      </w:pPr>
      <w:r>
        <w:rPr>
          <w:rFonts w:ascii="Arial" w:hAnsi="Arial"/>
          <w:color w:val="404040"/>
          <w:sz w:val="21"/>
        </w:rPr>
        <w:t>Tras el golpe de la caída en los precios de la celulosa, el CEO de la gigante forestal dice que este “de todas maneras debería ser un año mejor que 2025”. A solo 13 meses de haber puesto la primera piedra de su futura planta de celulosa Sucuriú, ubicada en el Brasil profundo,la gigante forestal Arauco reporta un avance del 60% en las obras del proyecto de US$ 4.600 millones. Se trata de la mayor inversión en la historia de la firma del grupo Angelini, seguida por MAPA (Modernización y Ampliación de Planta Arauco), la iniciativa de US$ 3 mil millones que la empresa presentó hace 14 años en Chile y que echó a andar en 2022. La comparación de los procesos de tramitación entre ambas jurisdicciones con ADN forestal es inevitable y ha sido parte de los insumos en el debate nacional por la llamada permisología: “Para Sucuriú nos dieron los permisos en 18 meses, algo que en Chile nos demoramos ocho años”, contrasta el gerente general de Arauco, Cristián Infante, quien este año cumple tres décadas en la filial de Empresas Copec y ha sido protagonista de la expansión internacional de la maderera, así como testigo de la pérdida de competitividad de Chile en el sector.</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"Periodismo Legislativo", una mirada desde dentro a la activa relación de la prensa con el Congreso y la ciudadanía</w:t>
      </w:r>
    </w:p>
    <w:p>
      <w:pPr>
        <w:spacing w:before="40" w:after="60"/>
        <w:ind w:left="283"/>
      </w:pPr>
      <w:r>
        <w:rPr>
          <w:rFonts w:ascii="Arial" w:hAnsi="Arial"/>
          <w:color w:val="404040"/>
          <w:sz w:val="21"/>
        </w:rPr>
        <w:t>El libro 'Periodismo Legislativo', editado por José Luis Riffo y Mauricio Burgos, reúne reflexiones de seis destacados periodistas sobre la cobertura del Congreso chileno desde el retorno a la democracia en 1990, y será presentado este martes en la Biblioteca del Congreso Nacional en Valparaíso. La obra aborda cómo los periodistas y parlamentarios aprendieron juntos el funcionamiento legislativo, cubriendo episodios clave como los casos de drogas y platas políticas o el primer retiro de fondos de pensiones en 2020. Sus editores plantean que el desafío actual del periodismo legislativo está en hacer frente a la desinformación, las redes sociales y la inteligencia artificial, manteniendo el rigor y la calidad periodística como herramienta de educación cívica.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Claves del Congreso: proyecto de reactivación económica se votaría este jueves en Hacienda</w:t>
      </w:r>
    </w:p>
    <w:p>
      <w:pPr>
        <w:spacing w:before="40" w:after="60"/>
        <w:ind w:left="283"/>
      </w:pPr>
      <w:r>
        <w:rPr>
          <w:rFonts w:ascii="Arial" w:hAnsi="Arial"/>
          <w:color w:val="404040"/>
          <w:sz w:val="21"/>
        </w:rPr>
        <w:t>La Comisión de Hacienda de la Cámara de Diputados retomó esta semana la tramitación del proyecto de reactivación económica con jornadas dobles de audiencias, con votación prevista para el jueves 7 de mayo en el marco de la suma urgencia renovada por el Ejecutivo. El ministro de Hacienda Jorge Quiroz, junto a subsecretarios y directores de renta, enfrentan cuestionamientos de diputados y deberán pasar también por las comisiones de Medio Ambiente y Trabajo antes de la votación en sala. Paralelamente, esta semana ingresó formalmente el proyecto de aumento del salario mínimo y la Comisión de Minería y Energía analizará los precios de nudo promedio para el segundo semestre de 2026.</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Imacec sorprende con una nueva caída en marzo y la actividad económica completa un primer trimestre en rojo</w:t>
      </w:r>
    </w:p>
    <w:p>
      <w:pPr>
        <w:spacing w:before="40" w:after="60"/>
        <w:ind w:left="283"/>
      </w:pPr>
      <w:r>
        <w:rPr>
          <w:rFonts w:ascii="Arial" w:hAnsi="Arial"/>
          <w:color w:val="404040"/>
          <w:sz w:val="21"/>
        </w:rPr>
        <w:t>El Imacec de marzo registró una caída de 0,1% interanual, por debajo del 0,5% de crecimiento esperado por economistas, completando así un primer trimestre negativo para la economía chilena con una contracción acumulada estimada de 0,3% en el período enero-marzo. La caída fue impulsada por una baja de 5,2% en la producción de bienes, afectada por menor extracción de cobre, baja en agropecuario-silvícola, pesca y producción industrial, parcialmente compensada por un alza de 5,1% en comercio y 2,1% en servicios. El Banco Santander estimó que este sería el primer retroceso trimestral desde el segundo trimestre de 2023, acentuando la presión sobre el gobierno para implementar medidas de reactivación.</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Moody’s está a la espera de la opinión del CFA acerca del impacto fiscal del plan de reconstrucción</w:t>
      </w:r>
    </w:p>
    <w:p>
      <w:pPr>
        <w:spacing w:before="40" w:after="60"/>
        <w:ind w:left="283"/>
      </w:pPr>
      <w:r>
        <w:rPr>
          <w:rFonts w:ascii="Arial" w:hAnsi="Arial"/>
          <w:color w:val="404040"/>
          <w:sz w:val="21"/>
        </w:rPr>
        <w:t>Desde la agencia destacaron que la discusión legislativa podría alterar el proyecto del Ejecutivo. Kathrin Muehlbronner, senior vice president de Moody’s Rating. La agencia clasificadora Moody’s está a la espera de mayores detalles del proyecto de reconstrucción y reactivación económica presentado por el gobierno hace dos semanas y, en especial, del informe del Consejo Fiscal Autónomo (CFA).</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Mayoría del Panel UC respalda la figura de la invariabilidad tributaria propuesta por el gobierno</w:t>
      </w:r>
    </w:p>
    <w:p>
      <w:pPr>
        <w:spacing w:before="40" w:after="60"/>
        <w:ind w:left="283"/>
      </w:pPr>
      <w:r>
        <w:rPr>
          <w:rFonts w:ascii="Arial" w:hAnsi="Arial"/>
          <w:color w:val="404040"/>
          <w:sz w:val="21"/>
        </w:rPr>
        <w:t>Un 53% de los expertos del Panel de Políticas Públicas de la Universidad Católica se mostró a favor de la invariabilidad tributaria propuesta por el gobierno, que limita por 25 años el alza de impuestos para inversiones de US$ 50 millones o más, según una medición realizada con Radio Pauta y Diario Financiero entre 26 profesionales de distintas sensibilidades políticas. La directora de la Escuela de Gobierno UC, Andrea Repetto, indicó que las posturas reflejan fuertemente las tendencias políticas de los panelistas y que el debate central gira entre valorar la certeza jurídica versus renunciar a la flexibilidad de la política fiscal futura. Repetto también cuestionó que la medida, tal como está planteada, es excesivamente amplia —aplica a casi cualquier proyecto con un monto mínimo— y señaló que Chile, a diferencia de países como Argentina, no tiene problemas de integración financiera que justifiquen ese tipo de estatuto.</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La IA irrumpe este año entre los principales desafíos de las empresas en Chile, pero su adopción aún se ve lenta</w:t>
      </w:r>
    </w:p>
    <w:p>
      <w:pPr>
        <w:spacing w:before="40" w:after="60"/>
        <w:ind w:left="283"/>
      </w:pPr>
      <w:r>
        <w:rPr>
          <w:rFonts w:ascii="Arial" w:hAnsi="Arial"/>
          <w:color w:val="404040"/>
          <w:sz w:val="21"/>
        </w:rPr>
        <w:t>Un estudio de la Cátedra Carlos Vial Espantoso de la UC revela que el 54,5% de las gerencias de personas de grandes empresas en Chile identifica la inteligencia artificial como el principal desafío para 2026, aunque la implementación sigue siendo incipiente: solo el 10,4% tiene una adopción extendida o estratégica, mientras el 44,2% la usa en procesos específicos y el 29,9% está en fase piloto. Los principales efectos percibidos incluyen la incorporación de nuevos perfiles y competencias (53,5%), reducción de costos (45,1%) y aumento de productividad sin incrementar dotación (43,7%), con una reconfiguración laboral más que destrucción de empleos. La directora ejecutiva Constanza Gardilcic destacó que la brecha entre la urgencia declarada y la capacidad de implementación evidencia baja madurez organizacional, y que el desafío es ahora de gestión estratégica más que tecnológico.</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El mundo de internet da señales de debilidad del consumo y el empleo en marzo</w:t>
      </w:r>
    </w:p>
    <w:p>
      <w:pPr>
        <w:spacing w:before="40" w:after="60"/>
        <w:ind w:left="283"/>
      </w:pPr>
      <w:r>
        <w:rPr>
          <w:rFonts w:ascii="Arial" w:hAnsi="Arial"/>
          <w:color w:val="404040"/>
          <w:sz w:val="21"/>
        </w:rPr>
        <w:t>Los Indicadores Económicos de Alta Frecuencia del CIES-UDD muestran que en marzo las búsquedas online asociadas al consumo perdieron fuerza, con una caída de 26 puntos en interés por compras en supermercado y 13 puntos en tarjeta de crédito, coincidiendo con el inicio del conflicto en Medio Oriente y el alza de los precios de combustibles. En paralelo, las búsquedas por ofertas de trabajo se encuentran en mínimos históricos y los finiquitos en máximos de cinco años, señales de debilidad en el mercado laboral pese a que el interés online por cesantía no mostró gran movimiento. Como nota positiva, la creación de empresas creció 21,1% en 12 meses móviles, aunque las quiebras prácticamente se duplicaron en lo que va del año con 2.073 boletines de liquidación y una variación anual de 153,7%.</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Grupo Energía Bogotá adquiere participación de brasileña Axia Energía en activos de transporte de energía por US$ 91 millones</w:t>
      </w:r>
    </w:p>
    <w:p>
      <w:pPr>
        <w:spacing w:before="40" w:after="60"/>
        <w:ind w:left="283"/>
      </w:pPr>
      <w:r>
        <w:rPr>
          <w:rFonts w:ascii="Arial" w:hAnsi="Arial"/>
          <w:color w:val="404040"/>
          <w:sz w:val="21"/>
        </w:rPr>
        <w:t>El Grupo Energía Bogotá (GEB) de Colombia cerró la adquisición del 49% restante en cuatro empresas de transmisión eléctrica en Brasil que pertenecían a Axia Energía, pagando 451,5 millones de reales brasileños (US$ 91 millones), consolidando así el control total del 100% en esas entidades. Las cuatro entidades de propósito especial —Goiás Transmissão, MGE Transmissão, Transenergia Renovável y Transenergia São Paulo— suman aproximadamente 1.086 kilómetros de líneas de transmisión en seis estados brasileños, con concesiones que se extienden hasta finales de la próxima década. Con esta operación, GEB se posiciona como el quinto actor en transmisión eléctrica de Brasil, con más de 5.200 kilómetros de redes, reafirmando a Brasil como eje estratégico de su plan de expansión.</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Latam Cargo Colombia expande su red regional con operaciones regulares entre aeropuertos de Miami y Caracas</w:t>
      </w:r>
    </w:p>
    <w:p>
      <w:pPr>
        <w:spacing w:before="40" w:after="60"/>
        <w:ind w:left="283"/>
      </w:pPr>
      <w:r>
        <w:rPr>
          <w:rFonts w:ascii="Arial" w:hAnsi="Arial"/>
          <w:color w:val="404040"/>
          <w:sz w:val="21"/>
        </w:rPr>
        <w:t>Latam Cargo Colombia lanzó el 3 de mayo operaciones regulares entre Miami y Caracas con dos frecuencias semanales —domingos y jueves—, estableciendo una nueva ruta estratégica para atender el flujo de carga entre Estados Unidos y el mercado venezolano. El servicio opera en la ruta Miami-Caracas-Bogotá y transporta principalmente carga general y mensajería (courier), con capacidad para carga sobredimensionada y farmacéutica. El director comercial para Norteamérica de Latam Cargo Group, Andrés Varela, destacó que la rápida implementación refleja la agilidad y orientación a soluciones de la organización.</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¿Qué se sabe hasta ahora de la implementación del Proyecto Libertad de Trump para permitir el tránsito por Ormuz?</w:t>
      </w:r>
    </w:p>
    <w:p>
      <w:pPr>
        <w:spacing w:before="40" w:after="60"/>
        <w:ind w:left="283"/>
      </w:pPr>
      <w:r>
        <w:rPr>
          <w:rFonts w:ascii="Arial" w:hAnsi="Arial"/>
          <w:color w:val="404040"/>
          <w:sz w:val="21"/>
        </w:rPr>
        <w:t>El 'Proyecto Libertad' anunciado por Trump busca escoltar a los aproximadamente 1.600 buques y 20.000 marineros varados en el Golfo Pérsico desde el inicio del conflicto, con apoyo del Comando Central de EE.UU. con 15.000 militares, más de 100 aeronaves, buques de guerra y drones. Sin embargo, Irán advirtió que cualquier interferencia estadounidense será considerada una violación al alto el fuego y que el paso seguro por Ormuz debe coordinarse con sus fuerzas armadas, mientras la agencia marítima británica UKMTO mantuvo el nivel de amenaza como 'crítico'. Entre navieras y armadores hay alta incertidumbre ante la falta de detalles sobre la operación, incluyendo interrogantes sobre el manejo de minas, los riesgos de ataques iraníes y el orden de escolta de los buques.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Irán advierte a la marina estadounidense que no entre en el estrecho de Ormuz</w:t>
      </w:r>
    </w:p>
    <w:p>
      <w:pPr>
        <w:spacing w:before="40" w:after="60"/>
        <w:ind w:left="283"/>
      </w:pPr>
      <w:r>
        <w:rPr>
          <w:rFonts w:ascii="Arial" w:hAnsi="Arial"/>
          <w:color w:val="404040"/>
          <w:sz w:val="21"/>
        </w:rPr>
        <w:t>El general de división Ali Abdollahi, comandante del Cuartel General Central de Khatam al-Anbia de Irán, advirtió que cualquier fuerza extranjera que intente acercarse o ingresar al estrecho de Ormuz sin coordinación con la República Islámica será atacada, en respuesta al anuncio del 'Proyecto Libertad' de Trump. El petróleo Brent llegó a subir hasta 5,1% alcanzando US$ 113,72 por barril tras reportes de que Irán habría atacado un buque de guerra estadounidense con dos misiles, aunque los precios retrocedieron luego de que el Comando Central de EE.UU. negó el incidente. El estrecho permanece bloqueado desde los primeros días del conflicto iniciado a fines de febrero, con alrededor de 1.000 buques mercantes y 20.000 marineros varados en el Golfo.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Raghuram Rajan, académico de la Universidad de Chicago: “La actividad de los países se tendrá que desacelerar en torno a 12% para ajustarse a ese mismo porcentaje de energía global que ha desaparecido”</w:t>
      </w:r>
    </w:p>
    <w:p>
      <w:pPr>
        <w:spacing w:before="40" w:after="60"/>
        <w:ind w:left="283"/>
      </w:pPr>
      <w:r>
        <w:rPr>
          <w:rFonts w:ascii="Arial" w:hAnsi="Arial"/>
          <w:color w:val="404040"/>
          <w:sz w:val="21"/>
        </w:rPr>
        <w:t>El también expresidente del Banco de Reserva de India dijo que ante los altos costos de los combustibles algunas fábricas tendrán que cerrar, mientras los hogares consumirán menos, incluso en EEUU. “Tengo la esperanza de que reconozcamos las ineficiencias de un escenario donde todos intentan construir resiliencia interna, las rutas comerciales son más estrechas y los países son vulnerables a la explotación de naciones más poderosas”, manifestó el académico de la Booth School of Business de la Universidad de Chicago, planteando que estamos lejos de eso y destacando las complejidades que enfrenta la economía mundial en un escenario de reordenamiento geopolítico, de lo cual forma parte la guerra en Medio Oriente. En conversación con DF, quien fuera presidente del Banco de Reserva de India planteó que los países que peor la pasarán con las restricciones al suministro energético serán los más pobres, mientras que ve un panorama complejo para las naciones que no formen parte de la esfera de influencia de grandes potencias, en el marco de la confrontación entre China y Estados Unidos.</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DF Lab Opinión/ Ciberseguridad desde el directorio</w:t>
      </w:r>
    </w:p>
    <w:p>
      <w:pPr>
        <w:spacing w:before="40" w:after="60"/>
        <w:ind w:left="283"/>
      </w:pPr>
      <w:r>
        <w:rPr>
          <w:rFonts w:ascii="Arial" w:hAnsi="Arial"/>
          <w:color w:val="404040"/>
          <w:sz w:val="21"/>
        </w:rPr>
        <w:t>El director de la Alianza Chilena de Ciberseguridad, César Pallavicini, advierte que el principal desafío en ciberseguridad no es tecnológico sino de comprensión estratégica, ya que los directorios aún perciben el tema como operativo pese a que Latinoamérica es la región más atacada del mundo con 3.054 ciberataques semanales por organización, y Chile registra 1.706. Existe una desconexión evidente: aunque los temas tecnológicos representan el 20,8% de la agenda de los directorios, el conocimiento efectivo en estas materias apenas llega al 0,5%, según el Instituto de Directores de Chile. Pallavicini concluye que la discusión debe ser estratégica y no técnica, ya que la forma en que un directorio aborda la ciberseguridad define la resiliencia del negocio frente a amenazas que ya no son improbables sino una certeza.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Las razones de las startups y fondos de inversión chilenos para instalarse en Miami</w:t>
      </w:r>
    </w:p>
    <w:p>
      <w:pPr>
        <w:spacing w:before="40" w:after="60"/>
        <w:ind w:left="283"/>
      </w:pPr>
      <w:r>
        <w:rPr>
          <w:rFonts w:ascii="Arial" w:hAnsi="Arial"/>
          <w:color w:val="404040"/>
          <w:sz w:val="21"/>
        </w:rPr>
        <w:t>Miami se ha consolidado como hub estratégico para emprendedores y fondos de inversión chilenos, atraídos por su huso horario funcional para operar con Latinoamérica, ventajas tributarias del estado de Florida —impuesto estatal cero para personas—, concentración de tomadores de decisión regionales y acceso a inversionistas estadounidenses interesados en la región. Fondos como Manutara Ventures y Taram Capital, así como startups como Betterfly, TeselaGen y Levita Magnetics, destacaron que la ciudad ha cambiado radicalmente en los últimos cinco años, convirtiéndose en un polo tecnológico que hace un lustro no existía. La participación chilena en eventos como eMerge Americas creció de 5 a 18 compañías en 2026, y está en formación Chile-Florida, una organización privada sin fines de lucro que buscará articular la comunidad chilena en ese estado.</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Malas noticias del mercado laboral</w:t>
      </w:r>
    </w:p>
    <w:p>
      <w:pPr>
        <w:spacing w:before="40" w:after="60"/>
        <w:ind w:left="283"/>
      </w:pPr>
      <w:r>
        <w:rPr>
          <w:rFonts w:ascii="Arial" w:hAnsi="Arial"/>
          <w:color w:val="404040"/>
          <w:sz w:val="21"/>
        </w:rPr>
        <w:t>La encuesta de empleo del INE del trimestre móvil terminado en marzo muestra una tasa de desocupación de 8,9% —superando los 900.000 desempleados— y de 10% para las mujeres, en un trimestre que estacionalmente debería ser más bajo, revelando la urgencia de priorizar la creación de empleo. En doce meses solo se generaron 45.000 empleos frente a un aumento de 146.000 personas en edad de trabajar; el empleo formal cayó en 33.000 puestos y el asalariado privado informal subió en 92.000, reflejando una precarización laboral. El artículo vincula estas cifras con el alza del salario mínimo (54% real en cuatro años), la reducción de jornada a 42 horas semanales vigente desde el 26 de abril, y el mayor costo de cotizaciones, y llama a políticas que dinamicen la inversión y moderen los costos de contratación formal.</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4 de mayo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