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26 De Agosto De 2026</w:t>
      </w:r>
    </w:p>
    <w:p>
      <w:pPr>
        <w:jc w:val="center"/>
      </w:pPr>
      <w:r>
        <w:rPr>
          <w:rFonts w:ascii="Arial" w:hAnsi="Arial"/>
          <w:color w:val="999999"/>
          <w:sz w:val="20"/>
        </w:rPr>
        <w:t>6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sube a bordear los $ 920 mientras la divisa se fortalece globalmente tras datos de inflación estadounidenses</w:t>
      </w:r>
    </w:p>
    <w:p>
      <w:pPr>
        <w:spacing w:before="40" w:after="60"/>
        <w:ind w:left="283"/>
      </w:pPr>
      <w:r>
        <w:rPr>
          <w:rFonts w:ascii="Arial" w:hAnsi="Arial"/>
          <w:color w:val="404040"/>
          <w:sz w:val="21"/>
        </w:rPr>
        <w:t>El PCE de julio en EEUU subió 0,2% mensual y 3,7% anual, superando levemente las estimaciones, lo que fortaleció el dólar a nivel global y llevó al tipo de cambio chileno hasta los $919. El alza del dollar index un 0,3% presionó al cobre, que retrocedió 0,6% en Londres hasta US$6,47 por libra. Los mercados de futuros descuentan casi 40% de probabilidad de un alza de tasas de la Fed en septiembre, con certeza de que se implementaría antes de diciembre. El petróleo Brent cedió 1% hasta US$87,7 tras un acuerdo provisional entre Irán y Omán para reabrir el estrecho de Ormuz.</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Apenas 176 viviendas en lo que va de 2026: CChC busca combatir déficit de inversión inmobiliaria en Concepción con propuesta para modificar Plan Regulador</w:t>
      </w:r>
    </w:p>
    <w:p>
      <w:pPr>
        <w:spacing w:before="40" w:after="60"/>
        <w:ind w:left="283"/>
      </w:pPr>
      <w:r>
        <w:rPr>
          <w:rFonts w:ascii="Arial" w:hAnsi="Arial"/>
          <w:color w:val="404040"/>
          <w:sz w:val="21"/>
        </w:rPr>
        <w:t>El mercado inmobiliario de Concepción enfrenta un déficit de 9.500 viviendas, agravado por un colapso en los permisos de construcción: solo 275 unidades en 2025 y 176 en lo que va de 2026. La CChC presentó un informe técnico al alcalde Héctor Muñoz y anunciará antes del 15 de octubre una propuesta formal amparada en la LGUC para flexibilizar el Plan Regulador Comunal, apuntando principalmente a la limitación de alturas. El gremio argumenta que las restricciones actuales han mermado la rentabilidad de los proyectos, respaldado por un estudio de suelo desarrollado junto a la UCSC. El municipio se mostró abierto al debate y anunció la reactivación del Directorio Urbano de Concepción para el segundo semestre.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Bolsa chilena abre con leve caída y Wall Street se estabiliza antes de los resultados de Nvidia</w:t>
      </w:r>
    </w:p>
    <w:p>
      <w:pPr>
        <w:spacing w:before="40" w:after="60"/>
        <w:ind w:left="283"/>
      </w:pPr>
      <w:r>
        <w:rPr>
          <w:rFonts w:ascii="Arial" w:hAnsi="Arial"/>
          <w:color w:val="404040"/>
          <w:sz w:val="21"/>
        </w:rPr>
        <w:t>La Bolsa de Santiago abrió con una baja de 0,2%, con el S&amp;P IPSA en 11.432 puntos, presionado principalmente por Cencosud, Copec, Falabella y SQM-B, cada una con caídas cercanas al 1%. En Nueva York, el Nasdaq cedía 0,2% mientras los mercados aguardaban los resultados trimestrales de Nvidia, con el consenso apuntando a ingresos en centros de datos de alrededor de US$86 mil millones. Los datos del PCE en EEUU, con inflación de 3,7% anual, una décima sobre las estimaciones, impulsaron las tasas cortas y generaron expectativas de un posible alza de tasas de la Fed. El petróleo Brent cayó 2,1% hasta US$86,7 tras el acuerdo provisional entre Irán y Omán sobre el estrecho de Ormuz.</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Caso Sartor: defensas apelan a prisión preventiva de Larraín, Clark y Yáñez y cuestionan fallo del tribunal</w:t>
      </w:r>
    </w:p>
    <w:p>
      <w:pPr>
        <w:spacing w:before="40" w:after="60"/>
        <w:ind w:left="283"/>
      </w:pPr>
      <w:r>
        <w:rPr>
          <w:rFonts w:ascii="Arial" w:hAnsi="Arial"/>
          <w:color w:val="404040"/>
          <w:sz w:val="21"/>
        </w:rPr>
        <w:t>Las defensas de Pedro Pablo Larraín, Michael Clark y Sergio Yáñez apelaron las prisiones preventivas decretadas por el Cuarto Juzgado de Garantía en el caso Sartor, cuestionando que el fallo se basó en imputaciones generales sin individualizar la responsabilidad de cada acusado. La defensa de Larraín solicitó reemplazar la prisión por arresto domiciliario, argumentando que el tribunal omitió la resolución de la Corte Suprema que suspendió la intervención de la CMF sobre Sartor AGF, base de gran parte de la evidencia del Ministerio Público. Clark presentó además un recurso de amparo ante la Corte de Apelaciones, rechazado por esa instancia, que deberá verse en la Corte Suprema. La defensa de Yáñez destacó que el propio tribunal reconoció que su cliente no ocupó cargos directivos en Sartor AGF, pero aun así le impuso la misma medida cautelar que a directores y administradores de la firma.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Clapes UC: riesgo del fondo E casi se triplicó entre 2010-2025 y advierte por fondos generacionales</w:t>
      </w:r>
    </w:p>
    <w:p>
      <w:pPr>
        <w:spacing w:before="40" w:after="60"/>
        <w:ind w:left="283"/>
      </w:pPr>
      <w:r>
        <w:rPr>
          <w:rFonts w:ascii="Arial" w:hAnsi="Arial"/>
          <w:color w:val="404040"/>
          <w:sz w:val="21"/>
        </w:rPr>
        <w:t>Un estudio de Clapes UC determinó que el riesgo del Fondo E de las AFP casi se triplicó entre los períodos 2010-2017 y 2018-2025, con el CVaR pasando de 1,47% a 4,19%. El incremento se explica por el aumento de la duración promedio de los instrumentos de renta fija: de cinco años en 2009 a 10,2 años en 2025, convirtiéndolo en el fondo con mayor duración del sistema, incluso por encima de los de mayor riesgo. El estudio concluye que la regulación vigente, que solo fija límites por clase de activo pero no restringe el plazo de los instrumentos, no captura adecuadamente el riesgo de tasa de interés. Los autores advierten que esta falla estructural es aplicable también al nuevo esquema de fondos generacionales que la Superintendencia de Pensiones publicará el 1 de septiembre.</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FNE inicia investigación por compra de la dueña de AES Andes por BlackRock y fondo EQT</w:t>
      </w:r>
    </w:p>
    <w:p>
      <w:pPr>
        <w:spacing w:before="40" w:after="60"/>
        <w:ind w:left="283"/>
      </w:pPr>
      <w:r>
        <w:rPr>
          <w:rFonts w:ascii="Arial" w:hAnsi="Arial"/>
          <w:color w:val="404040"/>
          <w:sz w:val="21"/>
        </w:rPr>
        <w:t>La Fiscalía Nacional Económica inició formalmente la investigación sobre la adquisición de AES Corporation por el consorcio liderado por Global Infrastructure Partners (filial de BlackRock) y EQT Fund Management, notificada el 12 de junio. La transacción valora a AES en US$10.700 millones en capital accionario y aproximadamente US$33.400 millones en valor empresarial, a un precio de US$15 por acción. La FNE debió declarar incompleta la notificación en dos ocasiones antes de ordenar el inicio de la investigación, tras subsanaciones presentadas en julio y agosto. El CEO de AES Andes, Javier Dib, había descartado que la operación modifique la estrategia de la compañía en Chile.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Coeva de Los Ríos aprueba proyecto de inmobiliaria ligada a familia del expresidente Piñera en Lago Ranco</w:t>
      </w:r>
    </w:p>
    <w:p>
      <w:pPr>
        <w:spacing w:before="40" w:after="60"/>
        <w:ind w:left="283"/>
      </w:pPr>
      <w:r>
        <w:rPr>
          <w:rFonts w:ascii="Arial" w:hAnsi="Arial"/>
          <w:color w:val="404040"/>
          <w:sz w:val="21"/>
        </w:rPr>
        <w:t>La Comisión de Evaluación Ambiental de Los Ríos aprobó por unanimidad el proyecto 'Nuevo Desarrollo Inmobiliario Bahía Coique' de Inmobiliaria Arenas Blancas, ligada a la familia Piñera Morel, con una inversión de US$40 millones en la ribera del Lago Ranco en la comuna de Futrono. El desarrollo contempla 41 hectáreas con torres de departamentos de cuatro a cinco pisos y viviendas tipo village, orientadas al mercado de segunda vivienda y uso vacacional. La tramitación, iniciada en febrero de 2025, enfrentó demoras por exigencias arqueológicas y más de 200 observaciones del proceso de participación ciudadana. Tras la aprobación ambiental, la empresa deberá obtener permisos de edificación municipales para iniciar la construcción.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Empresas Gasco reconoce deterioro en valorización de activos de filial por más de US$ 18 millones</w:t>
      </w:r>
    </w:p>
    <w:p>
      <w:pPr>
        <w:spacing w:before="40" w:after="60"/>
        <w:ind w:left="283"/>
      </w:pPr>
      <w:r>
        <w:rPr>
          <w:rFonts w:ascii="Arial" w:hAnsi="Arial"/>
          <w:color w:val="404040"/>
          <w:sz w:val="21"/>
        </w:rPr>
        <w:t>El directorio de Empresas Gasco aprobó por unanimidad reconocer un deterioro de US$18,76 millones en los activos de su filial Gasco Solar Térmico Uno SpA, con un impacto neto de US$13,7 millones en los resultados consolidados. El deterioro está vinculado al proyecto termosolar para Minera Escondida originado en un contrato de suministro de US$50 millones suscrito en mayo de 2023, a 20 años plazo. La causa principal fue la necesidad de reemplazar al subcontratista principal durante la construcción, lo que generó un incremento significativo en los costos y una mayor permanencia en obra. La empresa aclaró que el efecto es principalmente contable y que el proyecto continúa en ejecución conforme al programa actualizado.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Ante cambios en cálculo de contribuciones: SII reordena la estratégica Subdirección de Avaluaciones</w:t>
      </w:r>
    </w:p>
    <w:p>
      <w:pPr>
        <w:spacing w:before="40" w:after="60"/>
        <w:ind w:left="283"/>
      </w:pPr>
      <w:r>
        <w:rPr>
          <w:rFonts w:ascii="Arial" w:hAnsi="Arial"/>
          <w:color w:val="404040"/>
          <w:sz w:val="21"/>
        </w:rPr>
        <w:t>El SII reorganizó mediante resolución su Subdirección de Avaluaciones de cara al reavalúo de propiedades no agrícolas programado para el 1 de enero de 2027, proceso que determinará las cuotas trimestrales de contribuciones de bienes raíces. La reestructuración reduce las oficinas de cuatro a tres y reorienta los departamentos hacia funciones más amplias: el nuevo Departamento de Valoración Catastral incorporará modelos técnicos trazables y reproducibles, y el de Fiscalización y Analítica Territorial añadirá análisis territorial avanzado, cartografía digital e interpretación de imágenes satelitales. También se crea una Oficina de Procedimientos, Normativa y Relación de Avaluaciones para estandarizar criterios y simplificar trámites. Los cambios apuntan a mayor transparencia en un proceso criticado por lo opaco de su metodología y el desanclaje entre el valor fiscal y la situación económica de los propietarios.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inflación de EEUU persiste sobre la meta mientras la economía sigue dinámica. ¿Qué significa para la Fed?</w:t>
      </w:r>
    </w:p>
    <w:p>
      <w:pPr>
        <w:spacing w:before="40" w:after="60"/>
        <w:ind w:left="283"/>
      </w:pPr>
      <w:r>
        <w:rPr>
          <w:rFonts w:ascii="Arial" w:hAnsi="Arial"/>
          <w:color w:val="404040"/>
          <w:sz w:val="21"/>
        </w:rPr>
        <w:t>El PCE de julio en EEUU subió 3,7% interanual, aún lejos de la meta del 2% de la Fed, mientras el PCE subyacente avanzó 0,2% mensual y 3,3% anual, en línea con estimaciones. La segunda lectura del PIB del segundo trimestre confirmó un crecimiento de 1,5% anualizado, pero los componentes mostraron más fortaleza: el consumo creció 3,4% anualizado y la demanda interna privada fue revisada al alza de 3,9% a 4,2%, su mayor avance en más de tres años. El escenario plantea un dilema para la Fed: la economía conserva dinamismo suficiente para tolerar tasas restrictivas, pero la inflación no converge hacia el objetivo. Los datos llegan justo antes del Simposio de Jackson Hole donde el presidente Kevin Warsh hablará el viernes.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intervención de Scott Bessent en los bonos coloca al Tesoro de EEUU en rumbo de colisión con la Fed</w:t>
      </w:r>
    </w:p>
    <w:p>
      <w:pPr>
        <w:spacing w:before="40" w:after="60"/>
        <w:ind w:left="283"/>
      </w:pPr>
      <w:r>
        <w:rPr>
          <w:rFonts w:ascii="Arial" w:hAnsi="Arial"/>
          <w:color w:val="404040"/>
          <w:sz w:val="21"/>
        </w:rPr>
        <w:t>El secretario del Tesoro Scott Bessent anunció que al menos duplicará las compras de deuda pública a largo plazo, buscando recortar rendimientos que alcanzaron máximos de 19 años, en una operación de compra mínima de US$4.000 millones. Grandes inversores critican la medida por contradecir el esfuerzo de la Fed para controlar la inflación, ya que estímula la economía en un momento en que varios miembros del FOMC consideran subir las tasas. El presidente de la Fed, Kevin Warsh, enfrenta presión en Jackson Hole para reconciliar su enfoque basado en señales de mercado con la intervención directa del Tesoro. El multimillonario Stanley Druckenmiller calificó el plan de 'error', argumentando que fue una gestión de precios y no de liquidez.</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Bill Gates pide reservar empleos para humanos para proteger a la fuerza laboral ante el avance de la inteligencia artificial</w:t>
      </w:r>
    </w:p>
    <w:p>
      <w:pPr>
        <w:spacing w:before="40" w:after="60"/>
        <w:ind w:left="283"/>
      </w:pPr>
      <w:r>
        <w:rPr>
          <w:rFonts w:ascii="Arial" w:hAnsi="Arial"/>
          <w:color w:val="404040"/>
          <w:sz w:val="21"/>
        </w:rPr>
        <w:t>En un ensayo de 6.000 palabras, Bill Gates advirtió que la IA afectará prácticamente todas las áreas de política pública y que los gobiernos no están preparados, comparando la magnitud del desafío con los cambios institucionales post 11-S. Gates propuso designar ciertos empleos como 'reservados para humanos', especialmente en ámbitos de alta sensibilidad como la entrega de diagnósticos médicos graves, y llamó a aplicar impuestos a robots y tokens de IA para equilibrar los incentivos fiscales que actualmente favorecen la sustitución de trabajadores por máquinas. También expresó preocupación por el impacto de chatbots altamente complacientes en el desarrollo social de los jóvenes y en el pensamiento crítico. El ensayo es una de las primeras intervenciones públicas extensas de Gates desde su alejamiento mediático vinculado al escándalo de Jeffrey Epstein.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Irán y Omán acuerdan marco “provisional” para reabrir el estrecho de Ormuz y pactan el reparto de los ingresos por corredor marítimo</w:t>
      </w:r>
    </w:p>
    <w:p>
      <w:pPr>
        <w:spacing w:before="40" w:after="60"/>
        <w:ind w:left="283"/>
      </w:pPr>
      <w:r>
        <w:rPr>
          <w:rFonts w:ascii="Arial" w:hAnsi="Arial"/>
          <w:color w:val="404040"/>
          <w:sz w:val="21"/>
        </w:rPr>
        <w:t>Irán y Omán celebrarán nuevas conversaciones para “negociar una nueva ruta permanente en un plazo de 30 a 60 días” para el transporte marítimo por esta vital vía. El estrecho de Ormuz, por donde antes transitaba cerca de una quinta parte del petróleo y el gas natural licuado del mundo, permanece prácticamente cerrado desde marzo. (Foto: Bloomberg) El ministro de Relaciones Exteriores de Irán, Abbas Araghchi, y su homólogo omaní, Badr Albusaidi, analizaron un “marco provisional” para reanudar la navegación por el estrecho de Ormuz, según un comunicado conjunto difundido por la Agencia de Noticias de Omán, en momentos que ambos países avanzan en sus conversaciones sobre el tránsito por esta estratégica vía marítima.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Statu quo sin escalada bélica en Medio Oriente anima al mercado y lleva a caída de 4% en el petróleo</w:t>
      </w:r>
    </w:p>
    <w:p>
      <w:pPr>
        <w:spacing w:before="40" w:after="60"/>
        <w:ind w:left="283"/>
      </w:pPr>
      <w:r>
        <w:rPr>
          <w:rFonts w:ascii="Arial" w:hAnsi="Arial"/>
          <w:color w:val="404040"/>
          <w:sz w:val="21"/>
        </w:rPr>
        <w:t>El martes el mercado petrolero abrió a la baja y profundizó la caída a lo largo de la jornada, con el Brent cediendo 3,9% hasta US$88,6 y el WTI 3,1% hasta US$82,4, ante señales de que el conflicto entre EEUU e Irán se desplaza de lo militar hacia lo económico. Analistas señalaron que las nuevas sanciones del 'Día D Económico' de Trump resultaron menos contundentes de lo esperado, siendo descritas como 'bastante rutinarias' en comparación con la primera administración. Señales de distensión adicionales incluyeron la visita del jefe del ejército de Pakistán a Irán, el acuerdo provisional entre Irán y Omán sobre el estrecho de Ormuz, y el restablecimiento de personal diplomático de EEUU en embajadas de la región. China advirtió que adoptará medidas ante las amenazas de sanciones del Tesoro estadounidense, aunque analistas minimizan su impacto dada la capacidad histórica de Beijing para eludir sanciones.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Startup Chattigo es adquirida por compañía de IA de EEUU que tiene a Disney y Apple entre sus clientes</w:t>
      </w:r>
    </w:p>
    <w:p>
      <w:pPr>
        <w:spacing w:before="40" w:after="60"/>
        <w:ind w:left="283"/>
      </w:pPr>
      <w:r>
        <w:rPr>
          <w:rFonts w:ascii="Arial" w:hAnsi="Arial"/>
          <w:color w:val="404040"/>
          <w:sz w:val="21"/>
        </w:rPr>
        <w:t>La startup chilena Chattigo, fundada en 2015 y especializada en atención omnicanal vía WhatsApp para más de 800 empresas en 20 mercados, fue adquirida por la compañía estadounidense Capacity por aproximadamente US$60 millones, equivalente a entre cinco y siete veces su ARR de US$11 millones de 2025. El proceso tomó cerca de tres meses de negociación formal e incluyó dos abandonos de mesa, finalmente cerrado en mayo con asesoría de un banco de inversión francés y el estudio Cuatrecasas. Capacity, con clientes como Apple, Disney y Walmart, buscaba el canal de WhatsApp y el posicionamiento latinoamericano de Chattigo para integrarlo a sus operaciones en España y el Reino Unido. Los tres fundadores y el equipo completo de 110 personas se integran a Capacity con un compromiso mínimo de dos años.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Un llamado que excede al empresariado</w:t>
      </w:r>
    </w:p>
    <w:p>
      <w:pPr>
        <w:spacing w:before="40" w:after="60"/>
        <w:ind w:left="283"/>
      </w:pPr>
      <w:r>
        <w:rPr>
          <w:rFonts w:ascii="Arial" w:hAnsi="Arial"/>
          <w:color w:val="404040"/>
          <w:sz w:val="21"/>
        </w:rPr>
        <w:t>El cardenal Fernando Chomalí presentó la carta 'La empresa promotora del bien común' ante más de 300 empresarios, rechazando reducir la empresa a su función instrumental y subrayando el impacto corporativo en familias, empleo y cohesión social. El texto aborda nudos críticos del mercado laboral como el desempleo juvenil, las brechas salariales de género, la informalidad laboral (27% de la ocupación) y la automatización creciente. La columna argumenta que el llamado del cardenal trasciende al empresariado y exige reciprocidad de todos los actores: sindicatos, Estado y ciudadanía, en un país donde las relaciones laborales permanecen tensas desde el estallido social. Su valor radica en ofrecer un punto de partida común para debatir empleo, productividad y reconversión tecnológica.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memoria del agua</w:t>
      </w:r>
    </w:p>
    <w:p>
      <w:pPr>
        <w:spacing w:before="40" w:after="60"/>
        <w:ind w:left="283"/>
      </w:pPr>
      <w:r>
        <w:rPr>
          <w:rFonts w:ascii="Arial" w:hAnsi="Arial"/>
          <w:color w:val="404040"/>
          <w:sz w:val="21"/>
        </w:rPr>
        <w:t>Las inundaciones recientes en el norte de Chile son una expresión del cambio climático que obliga a diseñar infraestructura simultáneamente para la escasez hídrica permanente y para tormentas de alta intensidad, en una incertidumbre que el autor define como 'condición de diseño'. El Plan Nacional de Infraestructura Pública 2025-2055 ya diagnosticó que más del 60% de las cuencas del norte son altamente vulnerables, contemplando más de 760 iniciativas de resiliencia hídrica con una inversión de 2,6 billones de pesos. El autor, ex subsecretario de Obras Públicas, plantea que el diagnóstico, la hoja de ruta y el financiamiento ya existen, y que el desafío es mantener la continuidad del plan sin ceder a la tentación política de ignorarlo. Recuerda que obras concretas surgieron de tragedias pasadas como el aluvión de Antofagasta en 1991 y el de la Quebrada de Macul en 1993.</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Desarrollo País y el valor de los activos públicos</w:t>
      </w:r>
    </w:p>
    <w:p>
      <w:pPr>
        <w:spacing w:before="40" w:after="60"/>
        <w:ind w:left="283"/>
      </w:pPr>
      <w:r>
        <w:rPr>
          <w:rFonts w:ascii="Arial" w:hAnsi="Arial"/>
          <w:color w:val="404040"/>
          <w:sz w:val="21"/>
        </w:rPr>
        <w:t>La participación de Desarrollo País en data centers, cables submarinos y proyectos inmobiliarios refleja una comprensión incipiente del Estado de que sus activos —terrenos fiscales, energía disponible, conectividad— pueden crear valor en lugar de ser simplemente cedidos a privados que capturan los beneficios. La columna señala que la IA está convirtiendo energía, suelo y conectividad en activos estratégicos, y que Chile puede optar entre ofrecerlos pasivamente o participar activamente en la nueva economía digital bajo reglas claras y con competencia. El desafío no es solo proveer infraestructura habilitante, sino definir un mandato claro y una gobernanza adecuada, una discusión que el país ha esquivado durante décadas.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IA y fraude: desafío para las PYME</w:t>
      </w:r>
    </w:p>
    <w:p>
      <w:pPr>
        <w:spacing w:before="40" w:after="60"/>
        <w:ind w:left="283"/>
      </w:pPr>
      <w:r>
        <w:rPr>
          <w:rFonts w:ascii="Arial" w:hAnsi="Arial"/>
          <w:color w:val="404040"/>
          <w:sz w:val="21"/>
        </w:rPr>
        <w:t>Los correos de phishing generados con IA alcanzan una tasa de interacción del 54%, frente al 12% de los ataques tradicionales según el Microsoft Digital Defense Report 2025, lo que representa un riesgo especial para las PYME donde una sola persona suele concentrar pagos, cobranzas y administración. Un correo convincente, una cuenta bancaria adulterada o una identidad suplantada pueden generar consecuencias financieras relevantes en estas organizaciones con recursos reducidos. La respuesta adecuada no es desconfiar de la tecnología sino fortalecer los controles: confirmación de instrucciones sensibles por un segundo canal, dobles verificaciones y validación de antecedentes antes de autorizar pagos. La capacidad de verificar información debe avanzar al mismo ritmo que la sofisticación de los ataques basados en IA.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incertidumbre tributaria no termina con la fiscalización</w:t>
      </w:r>
    </w:p>
    <w:p>
      <w:pPr>
        <w:spacing w:before="40" w:after="60"/>
        <w:ind w:left="283"/>
      </w:pPr>
      <w:r>
        <w:rPr>
          <w:rFonts w:ascii="Arial" w:hAnsi="Arial"/>
          <w:color w:val="404040"/>
          <w:sz w:val="21"/>
        </w:rPr>
        <w:t>La certeza tributaria no depende solo de contar con reglas claras, sino también del tiempo que tarda el Estado en resolver controversias sobre esas mismas reglas, una dimensión frecuentemente ignorada. En Chile, causas tributarias pueden llegar a la Corte Suprema con cinco o seis años de antigüedad, obligando a empresas y contribuyentes a tomar decisiones económicas bajo contingencias no resueltas durante años. La columna plantea que descongestionar la Corte Suprema es necesario pero insuficiente, y que Chile debería revisar cómo prevenir y resolver controversias antes de que lleguen a instancias de resolución tardía. Una justicia tributaria oportuna es una condición para que las reglas económicas sean realmente previsibles.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Ventanas transitorias en la megarreforma</w:t>
      </w:r>
    </w:p>
    <w:p>
      <w:pPr>
        <w:spacing w:before="40" w:after="60"/>
        <w:ind w:left="283"/>
      </w:pPr>
      <w:r>
        <w:rPr>
          <w:rFonts w:ascii="Arial" w:hAnsi="Arial"/>
          <w:color w:val="404040"/>
          <w:sz w:val="21"/>
        </w:rPr>
        <w:t>Tras la aprobación de la Ley de Reconstrucción Nacional, el foco práctico del próximo año son las disposiciones transitorias: la rebaja del 50% al impuesto a las donaciones y el régimen de declaración de bienes en el exterior con tasa única del 10%, reducible al 7% si los activos ingresan y se mantienen en Chile por hasta tres años. Esta es la sexta reforma tributaria de magnitud en doce años, y el elemento más significativo de la megarreforma en perspectiva es su régimen de invariabilidad tributaria para grandes inversiones. El autor advierte que si bien es importante aprovechar las ventanas transitorias que se cierran en plazos breves, el desafío estructural del país es garantizar estabilidad de reglas a largo plazo, que es la condición que realmente impulsa la inversión.</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26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