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11 De Agosto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primer triunfo bursátil de Francisca Ponce al mando de Pampa Invesments: descuento holding cae de 50% a 19,6%</w:t>
      </w:r>
    </w:p>
    <w:p>
      <w:pPr>
        <w:spacing w:before="40" w:after="60"/>
        <w:ind w:left="283"/>
      </w:pPr>
      <w:r>
        <w:rPr>
          <w:rFonts w:ascii="Arial" w:hAnsi="Arial"/>
          <w:color w:val="404040"/>
          <w:sz w:val="21"/>
        </w:rPr>
        <w:t>Según informe de BICE Inversiones, meses después que se cerrara la simplificación de las sociedades, el castigo del mercado sobre la principal matriz se redujo a menos de la mitad. A casi dos meses de su rebautizo en el mercado dePampa Investments, la compañía que nació del resultado de la simplificación societaria del grupo Pampa, ligado a Julio Ponce Lerou, comienza a dar frutos en el mercado. La compañía que hoy lideraFrancisca Ponce, hija del empresario,anotó su primer logro en bolsa:el descuentoholding, es decir, el castigo que aplica el mercado a la matrizcayó desde un promedio de 50% en la última década a 19,6% tras la última reestructuración societaria, según estimó BICE Inversiones.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Novena jornada de formalización de caso Sartor: defensa de socio de la matriz acusa falta de sustento en imputaciones</w:t>
      </w:r>
    </w:p>
    <w:p>
      <w:pPr>
        <w:spacing w:before="40" w:after="60"/>
        <w:ind w:left="283"/>
      </w:pPr>
      <w:r>
        <w:rPr>
          <w:rFonts w:ascii="Arial" w:hAnsi="Arial"/>
          <w:color w:val="404040"/>
          <w:sz w:val="21"/>
        </w:rPr>
        <w:t>El abogado de Rodrigo Bustamante aseguró que “no se ha explicado cómo concretamente mi representado habría contribuido” al esquema. En tanto, valoró el fallo de la Corte Suprema que declaró ilegal la suspensión de la AGF. Rodrigo Bustamante (der.) llegando a la audiencia de formalización. Foto: Julio Castro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Bolsa chilena abre estable con mercados atentos al conflicto geopolítico y el próximo IPC estadounidense</w:t>
      </w:r>
    </w:p>
    <w:p>
      <w:pPr>
        <w:spacing w:before="40" w:after="60"/>
        <w:ind w:left="283"/>
      </w:pPr>
      <w:r>
        <w:rPr>
          <w:rFonts w:ascii="Arial" w:hAnsi="Arial"/>
          <w:color w:val="404040"/>
          <w:sz w:val="21"/>
        </w:rPr>
        <w:t>En general, la temporada de resultados ha ayudado al IPSA, sumado a la aprobación de la reforma del gobierno. Los fondos de pensiones aumentaron a 10% la participación de las acciones chilenas en sus activos administrados. La bolsa chilena abrió estable este martes, pues en general los mercados están faltos de impulso, mientras no haya hechos concretos en Medio Oriente y a un día de que se publiquen los precios del consumidor estadounidenses. El S&amp;P IPSA operaba en 11.269,42 puntos esta mañana, nivel que alcanzó con suleve avance de este lunes. En general, la temporada de resultados ha ayudado al IPSA, sumado a la aprobación de la reforma del gobierno.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con leve caída mientras agentes esperan noticias sobre Medio Oriente y datos de inflación estadounidenses</w:t>
      </w:r>
    </w:p>
    <w:p>
      <w:pPr>
        <w:spacing w:before="40" w:after="60"/>
        <w:ind w:left="283"/>
      </w:pPr>
      <w:r>
        <w:rPr>
          <w:rFonts w:ascii="Arial" w:hAnsi="Arial"/>
          <w:color w:val="404040"/>
          <w:sz w:val="21"/>
        </w:rPr>
        <w:t>El futuro de cobre transado en Londres escalaba 0,2% a US$ 6,44 por libra, quedando de nuevo en la parte alta de sus cotizaciones históricas, por debajo del récord intradía de US$ 6,59 alcanzado a finales de enero. El dólar partió la sesión de este martes levemente en baja, ya que el reciente aumento de tensiones geopolíticas evolucionó a una situación destandby, también a la espera de los precios al consumidor que se publicarán mañana en Estados Unidos. La divisa caía $ 2,1 a $ 915,3 esta mañana, traspartir la semana al alza, ante el repunte de los precios del petróleo. Ahora, eldollar indexse estabilizaba, en línea con las principales tasas de interés soberanas y el crudo Brent, este último en US$ 87,6 por barril.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Bancos, sanitarias y SQM-B: las acciones que más ganan con la aprobación de la meegarreforma</w:t>
      </w:r>
    </w:p>
    <w:p>
      <w:pPr>
        <w:spacing w:before="40" w:after="60"/>
        <w:ind w:left="283"/>
      </w:pPr>
      <w:r>
        <w:rPr>
          <w:rFonts w:ascii="Arial" w:hAnsi="Arial"/>
          <w:color w:val="404040"/>
          <w:sz w:val="21"/>
        </w:rPr>
        <w:t>Un informe de Bci Corredor de Bolsa estima que la rebaja del impuesto corporativo, sumará 8,1% a las utilidades del IPSA entre 2027 y 2029, con algunos papeles más expuestos que otros. ¿La Bolsa se adelantó a la ley? El Congreso despachó la semana pasada el último pendiente de la Ley de Reconstrucción Nacional del gobierno del Presidente José Antonio Kast. Ese hito coincidió con que elIPSAtocó máximos de tres meses, despegando de los 11 mil puntos.En ese tramo, operadores incluyeron el avance de la reforma entre los factores del alza, además de latemporada de resultados. El ministro de Hacienda, Jorge Quiroz, quien lideró la tramitación de la iniciativa, sostuvo tras la votación que "Chile vuelve a abrirle las puertas a la inversión, al emprendimiento y al progreso".Y a la espera de su promulgación en el Diario Oficial, el mercado ya empezó a leer sus efectos.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Productor de Maule concreta inédita exportación de araucarias a República de Georgia y busca expandir envíos a Medio Oriente y Asia</w:t>
      </w:r>
    </w:p>
    <w:p>
      <w:pPr>
        <w:spacing w:before="40" w:after="60"/>
        <w:ind w:left="283"/>
      </w:pPr>
      <w:r>
        <w:rPr>
          <w:rFonts w:ascii="Arial" w:hAnsi="Arial"/>
          <w:color w:val="404040"/>
          <w:sz w:val="21"/>
        </w:rPr>
        <w:t>Agrícola Las Palmas de Botalcura se prepara a enviar ejemplares a los países del Golfo Pérsico el próximo año, y tiene en la mira mercados asiáticos como Japón, Corea y China para los próximos dos años, donde existen coleccionistas que demandan estas especies por ser estéticamente atractivas para el mercado oriental. Fundada hace 15 años porCarlos del Río en la comuna de Pencahue (Región de Maule), Agrícola Las Palmas de Botalcuraexplota un negocio de agricultura tradicional que cuenta con 20 hectáreas de avellano europeo destinadas a abastecer a clientes como Ferrero, la multinacional italiana dedicada a la producción de dulces y chocolates. Sin embargo, el "caballito de batalla" que le ha dado verdadero renombre internacional es laexportación de plantas ornamentales, y especialmente la araucaria chilena. Esta especie nativa es altamente valorada en el norte de Europa, donde a mediados del siglo XIX se convirtió en símbolo de estatus y una verdadera obsesión para la aristocracia del continente, mientras que también es muy apreciada por los agricultores por su gran resistencia a las bajas temperaturas.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Eléctricas reportan impacto de US$ 40 millones en solo un evento de lluvias de julio y Colbún advierte por dependencia de la seguridad de suministro al clima</w:t>
      </w:r>
    </w:p>
    <w:p>
      <w:pPr>
        <w:spacing w:before="40" w:after="60"/>
        <w:ind w:left="283"/>
      </w:pPr>
      <w:r>
        <w:rPr>
          <w:rFonts w:ascii="Arial" w:hAnsi="Arial"/>
          <w:color w:val="404040"/>
          <w:sz w:val="21"/>
        </w:rPr>
        <w:t>Lo invertido por los asociados a Empresas Eléctricas en la preparación en el marco del plan invierno alcanzó los $ 28 mil millones, es decir, US$ 28 millones. Miles de árboles cayeron sobre tendidos eléctricos durante los últimos temporales. (Foto: Aton Chile) Julio fue un mes intenso en temporales con vientos y fuertes lluviasy, aunque autoridades e industria de la vereda energética han valorado la coordinación y el trabajo en conjunto para enfrentar los eventos climáticos que hizo una diferencia a situaciones del pasado, estos ya comienzan a despertarreflexiones y cálculos respecto a importantes desembolsos para las eléctricas.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Bernardo Fontaine, presidente del directorio de Codelco: “En los próximos cuatro años será muy difícil que la deuda de la empresa disminuya”</w:t>
      </w:r>
    </w:p>
    <w:p>
      <w:pPr>
        <w:spacing w:before="40" w:after="60"/>
        <w:ind w:left="283"/>
      </w:pPr>
      <w:r>
        <w:rPr>
          <w:rFonts w:ascii="Arial" w:hAnsi="Arial"/>
          <w:color w:val="404040"/>
          <w:sz w:val="21"/>
        </w:rPr>
        <w:t>El directivo explicó en entrevista con DF al Cierre que la estatal reevaluará unos 170 proyectos, debido a que su plan de inversiones por US$ 34.000 millones no es financiable, y anticipó un mayor impulso a las asociaciones con privados. Tras el anuncio dela capitalización del 100% de las utilidades de Codelco de 2025, supresidente, Bernardo Fontaine, explicó en una entrevista en DF al Cierre que cerca de US$ 2.000 millones corresponden a la valorización contable de NovaAndino y unos US$ 400 millones al negocio del cobre. Así, la medida evita que la estatal deba endeudarse para transferir a Hacienda recursos que no están disponibles en caja. Fontaine afirmó que la capitalización es el primer paso del plan de recuperación, pero advirtió que el programa original de inversiones por US$ 34.000 millones no es financiable. La compañía revisará unos 170 proyectos y buscará contener una deuda que ya alcanza los US$ 27.000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no retirará utilidades de Codelco este año y da un espaldarazo a la minera de cara a su plan de reestructuración</w:t>
      </w:r>
    </w:p>
    <w:p>
      <w:pPr>
        <w:spacing w:before="40" w:after="60"/>
        <w:ind w:left="283"/>
      </w:pPr>
      <w:r>
        <w:rPr>
          <w:rFonts w:ascii="Arial" w:hAnsi="Arial"/>
          <w:color w:val="404040"/>
          <w:sz w:val="21"/>
        </w:rPr>
        <w:t>Son casi US$ 2.500 millones que la minera no tendrá que entregar al Estado, aunque la mayor parte de esas ganancias corresponde a Novandino Litio, por lo que no se trata de nuevos recursos de caja. Por primera vez en su historia,Codelco podrá capitalizar el 100% de las utilidades correspondientes al ejercicio 2025. La decisión permitirá quepermanezcan en la compañía US$ 2.422 millones, con el objetivo de financiar su continuidad operacional y cartera de proyectos, reduciendo la necesidad de incrementar su endeudamiento. El anuncio fue realizado este lunes por el Presidente José Antonio Kast durante la conmemoración del Día del Minero y la Minera, en una ceremonia desarrollada en la división Andina de la estatal. La medida fue revelada por los ministros de Hacienda, Jorge Quiroz, y el biministro de Economía y Minería, Daniel Mas, en medio de los esfuerzos de la corporación por recuperar sus niveles de producción.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Exministro Muñoz recupera visa a EEUU que había sido revocada por controversia del cable chino</w:t>
      </w:r>
    </w:p>
    <w:p>
      <w:pPr>
        <w:spacing w:before="40" w:after="60"/>
        <w:ind w:left="283"/>
      </w:pPr>
      <w:r>
        <w:rPr>
          <w:rFonts w:ascii="Arial" w:hAnsi="Arial"/>
          <w:color w:val="404040"/>
          <w:sz w:val="21"/>
        </w:rPr>
        <w:t>En febrero, el gobierno estadounidense revocó las visas del exministro de Transportes, Juan Carlos Muñoz; el exsubsecretario de Telecomunicaciones, Claudio Araya; y el jefe de gabinete de este último, Guillermo Petersen, por la controversia que giró en torno al cable que conectaba Chile con China. Ahora, el exsecretario de Estado logró recuperar su visa, según fue publicado por The Clinic y posteriormente confirmado por el propio Muñoz. En declaraciones entregadas a Radio BioBio, el exministro defendió su actuar: “Mi intención siempre fue velar por la independencia básica que todo país debe tener. Algo tan simple como eso me generó un importante daño reputacional y complicó mis históricas relaciones con instituciones académicas de EEUU (...) Espero que el otorgamiento reciente de mi visa mitigue ese impacto y me permita recuperar todas mis actividades”.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Los flancos que deja abierto el fallo de la Corte de Apelaciones que ordena bloqueo efectivo de casas de apuestas online</w:t>
      </w:r>
    </w:p>
    <w:p>
      <w:pPr>
        <w:spacing w:before="40" w:after="60"/>
        <w:ind w:left="283"/>
      </w:pPr>
      <w:r>
        <w:rPr>
          <w:rFonts w:ascii="Arial" w:hAnsi="Arial"/>
          <w:color w:val="404040"/>
          <w:sz w:val="21"/>
        </w:rPr>
        <w:t>El viernes el tribunal dio a conocer el mecanismo escogido, que involucra a diferentes actores. El SII, desde su vereda, aseguró que este “en nada se contradice” con su resolución para cobrar IVA a estos operadores. Un nuevo capítulo se escribió el viernes pasado en la trama respectiva ala presencia de casas de apuestas online en Chile. Ese día,la Corte de Apelaciones de Santiagodio a conocer, finalmente,el mecanismo escogidopara llevar a la práctica las palabras emitidas por el máximo tribunal en 2025, cuando -en respuesta a un recurso de protección ingresado por Lotería de Concepción- este calificó como“ilegal y arbitraria” la conducta de los sitios de apuestas en línea y ordenó su bloqueo de inmediato. Pese a instalar ciertas certezas, comoel mecanismo a utilizar en el bloqueo y los actores que tendrán que resguardar que esto se cumpla; el fallo también trajo consigo variaspreguntas relativas a plazos, congruencias con lo mandatado por el Servicio de Impuestos Internos (SII) en junio pasado y facultades legales para llevarlo a cabo.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Riesgo empresarial sube en el primer semestre y la morosidad se consolida como principal inquietud</w:t>
      </w:r>
    </w:p>
    <w:p>
      <w:pPr>
        <w:spacing w:before="40" w:after="60"/>
        <w:ind w:left="283"/>
      </w:pPr>
      <w:r>
        <w:rPr>
          <w:rFonts w:ascii="Arial" w:hAnsi="Arial"/>
          <w:color w:val="404040"/>
          <w:sz w:val="21"/>
        </w:rPr>
        <w:t>El índice que elabora la Cámara de Comercio de Santiago llegó a 7,63 puntos entre enero y junio, con seis de 12 sectores en deterioro. El temor a un deterioro financiero o mayor morosidad está impactando en las compañías. Así lo reveló la medición del Índice de Riesgo Empresarial (IRE) que elabora RedNegocios de la Cámara de Comercio de Santiago (CCS), parámetro que subió levemente en el primer semestre del año y promedió 7,63 puntos entre enero y junio de 2026, esto es, 0,2 puntos por sobre el nivel de 2025 y 2,3 puntos más que en 2021, año de inicio de la medición. La medición se mueve entre 0 y 100 puntos, donde 100 representa el mayor riesgo. El resultado de este año implica que en el 7,6% de las empresas de la muestra se observa algún grado de deficiencia en el cumplimiento de compromisos laborales o financieros o ambos.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Economistas proyectan que en julio el Imacec volvió a crecer y revisan al alza su proyección de PIB para el próximo año</w:t>
      </w:r>
    </w:p>
    <w:p>
      <w:pPr>
        <w:spacing w:before="40" w:after="60"/>
        <w:ind w:left="283"/>
      </w:pPr>
      <w:r>
        <w:rPr>
          <w:rFonts w:ascii="Arial" w:hAnsi="Arial"/>
          <w:color w:val="404040"/>
          <w:sz w:val="21"/>
        </w:rPr>
        <w:t>La encuesta del Banco Central también arrojó que los analistas estiman que el Índice de Precios al Consumidor (IPC) tendría una variación de 0,3% en el octavo mes del año y de 0,4% en septiembre. El mercado considera que la actividad tendría una considerable expansión durante el tercer trimestre. De acuerdo a la última Encuesta de Expectativas Económicas (EEE) de agosto del Banco Central, los analistas proyectaron que el Producto Interno Bruto (PIB) del período julio-septiembre crezca 2%. Esto considera queel Índice Mensual de Actividad Económica (Imacec) de julio registraría una expansión de 1,1%, su segundo mes consecutivo de avance luego del sorpresivo 2,4% de junio.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Siete abogados expertos en materia laboral rechazan la idea de suspender la Ley Karin para hacerle modificaciones</w:t>
      </w:r>
    </w:p>
    <w:p>
      <w:pPr>
        <w:spacing w:before="40" w:after="60"/>
        <w:ind w:left="283"/>
      </w:pPr>
      <w:r>
        <w:rPr>
          <w:rFonts w:ascii="Arial" w:hAnsi="Arial"/>
          <w:color w:val="404040"/>
          <w:sz w:val="21"/>
        </w:rPr>
        <w:t>Aseguran que todos los cambios que amerite la Ley Karin se pueden realizar sin necesidad de suspender su implementación. La semana pasada un grupo de diputados oficialistas ingresó un proyecto en materia laboral, que generó una fuerte polémica, que incluso provocó la inmediata reacción de las autoridades del Senado, desde donde su presidenta, la oficialista Paulina Núñez (RN) advirtió de inmediato que para eso “no cuenten con mi voto”.Se trata de la iniciativa que suspende transitoriamente los efectos de la Ley 21.643, que modifica el Código del Trabajo y otros cuerpos legales, en materia de prevención, investigación y sanción del acoso laboral, sexual o de violencia en el trabajo. ===  ===Su impulsor es el diputado libertario Erich Grohsy contó con el respaldo, a través de la firma, de los diputados del Partido Nacional Libertario Paulina Muñoz, Cristóbal Urruticoechea y Álvaro Jofré, Diego Vergara (republicano), Daniel Valenzuela (Indep. RN); y, el PDG Patricio Briones. Y la propuesta surge a dos años de la puesta en marcha de la ley, que se comenzó a aplicar el 1 de agosto de 2024.</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Expertos respaldan reforma al estatuto administrativo y ponen la mira en contratas y evaluación de desempeño</w:t>
      </w:r>
    </w:p>
    <w:p>
      <w:pPr>
        <w:spacing w:before="40" w:after="60"/>
        <w:ind w:left="283"/>
      </w:pPr>
      <w:r>
        <w:rPr>
          <w:rFonts w:ascii="Arial" w:hAnsi="Arial"/>
          <w:color w:val="404040"/>
          <w:sz w:val="21"/>
        </w:rPr>
        <w:t>El secretario ejecutivo de la comisión que convocará el gobierno será el subdirector de Racionalización y Función Pública de la Dirección de Presupuestos, José Ignacio Llodrá. Una positiva acogida tuvo en el mundo técnico el anuncio del ministro de Hacienda, Jorge Quiroz, de reformar el estatuto administrativo, es decir, las normativas que regulan la relación entre el Estado y sus trabajadores. El terreno, consideran, es fértil, dado que es una idea que ha estado presente hace años en el debate (ver recuadro). De hecho, tanto las administraciones de los expresidentes Gabriel Boric y Sebastián Piñera habían iniciado un proceso que finalmente se truncó.</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Presidente Kast critica la Casen y genera rechazode exministros de gobierno de Boric</w:t>
      </w:r>
    </w:p>
    <w:p>
      <w:pPr>
        <w:spacing w:before="40" w:after="60"/>
        <w:ind w:left="283"/>
      </w:pPr>
      <w:r>
        <w:rPr>
          <w:rFonts w:ascii="Arial" w:hAnsi="Arial"/>
          <w:color w:val="404040"/>
          <w:sz w:val="21"/>
        </w:rPr>
        <w:t>Jackson, Grau, Tohá y Toro salieron a rechazar cuestionamientos del mandatario a la cifras que mostraron una disminución de la pobreza. CAROLINA TOHÁ, EXMINISTRA DEL INTERIOR; NICOLÁS GRAU, EXMINISTRO DE HACIENDA; JAVIERA TORO, EXMINISTRA DE DESARROLLO SOCIAL Y GIORGIO JACKSON, EXMINISTRO DESARROLLO SOCIAL. FOTOS: ATON Una serie de críticas de ministros del gobierno anterior generaron las declaraciones del Presidente José Antonio Kast relativas a la Casen, instrumento que mide el nivel de pobreza en el país.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Hermann González deja el CFA después de cinco años</w:t>
      </w:r>
    </w:p>
    <w:p>
      <w:pPr>
        <w:spacing w:before="40" w:after="60"/>
        <w:ind w:left="283"/>
      </w:pPr>
      <w:r>
        <w:rPr>
          <w:rFonts w:ascii="Arial" w:hAnsi="Arial"/>
          <w:color w:val="404040"/>
          <w:sz w:val="21"/>
        </w:rPr>
        <w:t>Este 9 de agosto el economista Hermann González cumplió su período de cinco años como integrante del Consejo Fiscal Autónomo (CFA). En la instancia, además, se desempeñó como vicepresidente entre junio de 2022 y junio de 2025. El mismo cargo que ocupó entre 2016 y 2018 en el Consejo Fiscal Asesor, entidad antecesora del CFA, a la que se incorporó en 2014.</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Spotify solicitará a artistas identificar la música creada con IA: a oyentes no les gusta descubrir perfiles que simulan a humanos</w:t>
      </w:r>
    </w:p>
    <w:p>
      <w:pPr>
        <w:spacing w:before="40" w:after="60"/>
        <w:ind w:left="283"/>
      </w:pPr>
      <w:r>
        <w:rPr>
          <w:rFonts w:ascii="Arial" w:hAnsi="Arial"/>
          <w:color w:val="404040"/>
          <w:sz w:val="21"/>
        </w:rPr>
        <w:t>El mayor servicio de streaming de música del mundo dijo que quiere que los usuarios sepan qué canciones fueron creadas por artistas reales y cuáles fueron generadas artificialmente. La industria musical ha estado lidiando con esta nueva tecnología, que permite a personas sin experiencia musical crear canciones con sonido profesional en cuestión de segundos. (Foto: Bloomberg) Spotify TechnologiesSA comenzará aidentificar las canciones creadas con inteligencia artificialcon una nueva etiqueta denominada “AI Personas”.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“Desastre de carácter nacional” en Colombia: terremoto deja al menos 224 muertos y decenas de edificios colapsados</w:t>
      </w:r>
    </w:p>
    <w:p>
      <w:pPr>
        <w:spacing w:before="40" w:after="60"/>
        <w:ind w:left="283"/>
      </w:pPr>
      <w:r>
        <w:rPr>
          <w:rFonts w:ascii="Arial" w:hAnsi="Arial"/>
          <w:color w:val="404040"/>
          <w:sz w:val="21"/>
        </w:rPr>
        <w:t>“No están solos. El Estado está presente y actuando”, afirmó el recién asumido Presidente, Abelardo de la Espriella, quien tomó personalmente el mando de la respuesta a la emergencia. “El pleno centro de la ciudad está colapsado. Cayeron varios edificios. Los hospitales están todos colapsados. No hay vías. Terrible, terrible todo”. Así relató aDiario Financierola directora ejecutiva de Fenavi Eje Cafetero, Adriana Dávila,la situación que enfrenta la ciudad de Pereira horas después delterremoto que sacudió este lunes a Colombia. La dirigenta gremial iba rumbo a su trabajo cuando comenzó el movimiento y decidió regresar, sin poder salir ante el caos que se vivía en las calles.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robots chinos de Unitree cautivan a los inversionistas individuales: demanda supera más de 5.500 veces a la oferta en su OPI</w:t>
      </w:r>
    </w:p>
    <w:p>
      <w:pPr>
        <w:spacing w:before="40" w:after="60"/>
        <w:ind w:left="283"/>
      </w:pPr>
      <w:r>
        <w:rPr>
          <w:rFonts w:ascii="Arial" w:hAnsi="Arial"/>
          <w:color w:val="404040"/>
          <w:sz w:val="21"/>
        </w:rPr>
        <w:t>El tramo minorista de la oferta pública inicial del fabricante de los robots que boxean y bailan refleja un enorme entusiasmo por las acciones tecnológicas en el país. Las exhibiciones de los robots de Unitree incluyen bailes, acrobacias y combates de boxeo. (Fotos: Reuters) Los inversionistas minoristas chinos se disputan una participación en una destacada empresa de robots humanoides, lo que refleja un enorme entusiasmo por las acciones tecnológicas en el país.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Nvidia se asocia con gigantes de Wall Street para recaudar US$ 500 mil millones para infraestructura de IA</w:t>
      </w:r>
    </w:p>
    <w:p>
      <w:pPr>
        <w:spacing w:before="40" w:after="60"/>
        <w:ind w:left="283"/>
      </w:pPr>
      <w:r>
        <w:rPr>
          <w:rFonts w:ascii="Arial" w:hAnsi="Arial"/>
          <w:color w:val="404040"/>
          <w:sz w:val="21"/>
        </w:rPr>
        <w:t>La iniciativa busca ampliar el acceso a capacidad de cómputo para desarrolladores, empresas, gobiernos y proveedores de servicios en la nube. Nvidia se asoció con seis importantes instituciones financieras para lanzar plataformas de financiamiento de capacidad de cómputo destinadas a recaudarmás de US$ 500 mil millones en capital de terceros para infraestructura de inteligencia artificial (IA). El CEO de Nvidia,Jensen Huang,dijo el lunes en X que la compañíatiene la opción de respaldar hasta US$ 125 mil millones, o el 25% de los potenciales acuerdos.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Omnix, startup que desarrolla IA propietaria para empresas, llega a Brasil</w:t>
      </w:r>
    </w:p>
    <w:p>
      <w:pPr>
        <w:spacing w:before="40" w:after="60"/>
        <w:ind w:left="283"/>
      </w:pPr>
      <w:r>
        <w:rPr>
          <w:rFonts w:ascii="Arial" w:hAnsi="Arial"/>
          <w:color w:val="404040"/>
          <w:sz w:val="21"/>
        </w:rPr>
        <w:t>La compañía chilena inició operaciones en Sao Paulo con 30 personas tras cerrar una alianza global con Oracle. A un nuevo mercado llegóOmnix, startup chilena que desarrolla inteligencia artificial (IA) propietaria para empresas. La firma se instaló en Brasil con un equipo de 30 personas tras cerrar una alianza con Oracle. Fundada en 2020, Omnix creó unaplataforma cognitiva operacional que construye modelos de IA propietarios para cada cliente,es decir, con capacidad de tomar decisiones autónomas y accionar en tiempo real en operaciones críticas.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|11/08/2026</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DESEMPLEO JUVENIL</w:t>
      </w:r>
    </w:p>
    <w:p>
      <w:pPr>
        <w:spacing w:before="40" w:after="60"/>
        <w:ind w:left="283"/>
      </w:pPr>
      <w:r>
        <w:rPr>
          <w:rFonts w:ascii="Arial" w:hAnsi="Arial"/>
          <w:color w:val="404040"/>
          <w:sz w:val="21"/>
        </w:rPr>
        <w:t>Según la Encuesta Nacional de Empleo del Instituto Nacional de Estadísticas (INE), la tasa de desocupación entre los 15 y 24 años alcanzó 24,6% en el trimestre marzo-mayo de 2026, la más alta desde noviembre de 2020, cuando el país vivía los efectos de la pandemia. Se trata de un tramo compuesto, en gran parte, por recién egresados del sistema educativo que, por diversas razones, no tienen cabida en el mercado laboral. De acuerdo al Boletín de Informalidad Laboral del INE, la ocupación informal en este grupo llegó a 38,5% en el trimestre enero-marzo de 2026, muy sobre el 26,5% nacional. Esa diferencia no solo responde a la debilidad que ha exhibido la actividad económica en los últimos años, sino que obliga a revisar la brecha generada entre la formación entregada a los jóvenes y las nuevas exigencias del mercado laboral. El Panel Laboral del Instituto de Políticas Públicas UNAB concluye que los principales frenos a la contratación juvenil son el bajo crecimiento económico, la falta de experiencia previa y el desajuste entre formación y necesidades de las empresas, más que la automatización de cargos de entrada. Ahí se encuentra la paradoja, ya que hay sectores con demanda real de trabajadores que igualmente dejan afuera a los jóvenes.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11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