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15 De Septiembre De 2026</w:t>
      </w:r>
    </w:p>
    <w:p>
      <w:pPr>
        <w:jc w:val="center"/>
      </w:pPr>
      <w:r>
        <w:rPr>
          <w:rFonts w:ascii="Arial" w:hAnsi="Arial"/>
          <w:color w:val="999999"/>
          <w:sz w:val="20"/>
        </w:rPr>
        <w:t>6 secciones  ·  22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Bolsa chilena cae y Wall Street abre en rojo mientras la principal tasa soberana de EEUU alcanza máximos de casi dos décadas</w:t>
      </w:r>
    </w:p>
    <w:p>
      <w:pPr>
        <w:spacing w:before="40" w:after="60"/>
        <w:ind w:left="283"/>
      </w:pPr>
      <w:r>
        <w:rPr>
          <w:rFonts w:ascii="Arial" w:hAnsi="Arial"/>
          <w:color w:val="404040"/>
          <w:sz w:val="21"/>
        </w:rPr>
        <w:t>La Bolsa de Santiago retrocedía este martes junto a los mercados estadounidenses, con el MSCI IPSA bajando 0,4% hasta 11.302,78 puntos, arrastrado principalmente por SQM-B (-1,9%), tras haber cortado el lunes una racha de siete jornadas a la baja. En Wall Street, el Dow Jones perdía 0,6%, el Nasdaq 0,3% y el S&amp;P 500 0,2%, en un contexto donde el bono del Tesoro a 10 años tocó 5% y superó su máximo de 2023, alcanzando niveles no vistos desde 2007. El foco de los inversionistas está puesto en la reunión del FOMC que comienza este martes, con los mercados monetarios asignando más de 90% de probabilidad a un alza de 25 puntos base, el primer ajuste al alza en más de tres años. En paralelo, el Brent se estabilizaba cerca de US$ 105 por barril tras el contacto telefónico entre el primer ministro de Omán y el secretario de Estado Marco Rubio para buscar vías de distensión en Medio Oriente, después de un septiembre marcado por las tensiones en el estrecho de Ormuz y el cierre del oleoducto Este-Oeste saudita.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Dólar abre plano mientras la divisa sigue apreciándose globalmente ante el inicio de la reunión de política monetaria en EEUU</w:t>
      </w:r>
    </w:p>
    <w:p>
      <w:pPr>
        <w:spacing w:before="40" w:after="60"/>
        <w:ind w:left="283"/>
      </w:pPr>
      <w:r>
        <w:rPr>
          <w:rFonts w:ascii="Arial" w:hAnsi="Arial"/>
          <w:color w:val="404040"/>
          <w:sz w:val="21"/>
        </w:rPr>
        <w:t>El tipo de cambio dólar-peso frenó su escalada y se estabilizó en $ 958,2 en las primeras operaciones del martes, luego de cerrar el lunes en máximos de once meses, mientras el mercado aguarda la decisión de política monetaria de la Fed. El dollar index avanzaba 0,2% hasta 99,6 puntos, el cobre se estabilizaba y el rendimiento del Tesoro a 10 años subía hasta 5%, superando el peak de 2023 y llegando a máximos desde la Crisis Financiera Global. El FOMC inicia su reunión este martes con más de 90% de probabilidad implícita de un alza de 25 puntos base, lo que según el equipo de estrategas de BBVA liderado por Alejandro Cuadrado mantiene la presión sobre los activos de riesgo y las monedas latinoamericanas. El banco español atribuyó el castigo al peso chileno al deterioro de los términos de intercambio, con petróleo al alza por la crisis en Medio Oriente y un cobre afectado por la reevaluación del despliegue de inteligencia artificial tras los llamados de la industria a moderar su ritmo de desarrollo.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Javier Macaya, presidente de la comisión de Hacienda del Senado, y la reforma al mercado de capitales: “Espero que en diciembre estemos en condiciones de convertirla en ley”</w:t>
      </w:r>
    </w:p>
    <w:p>
      <w:pPr>
        <w:spacing w:before="40" w:after="60"/>
        <w:ind w:left="283"/>
      </w:pPr>
      <w:r>
        <w:rPr>
          <w:rFonts w:ascii="Arial" w:hAnsi="Arial"/>
          <w:color w:val="404040"/>
          <w:sz w:val="21"/>
        </w:rPr>
        <w:t>El senador Javier Macaya, presidente de la Comisión de Hacienda del Senado, calificó de ambiciosa la reforma al mercado de capitales (MK4) que inició su tramitación en la Cámara de Diputados y se mostró optimista sobre lograr un acuerdo transversal que permita convertirla en ley en diciembre, antes del receso parlamentario de enero. Su diagnóstico apunta al retroceso de la industria financiera local, que pasó de representar más de 20% del PIB a poco más de 10%, y sostiene que el incentivo a los créditos hipotecarios facilitaría una tramitación rápida en paralelo a la Ley de Presupuestos, que ingresa a más tardar el 30 de septiembre. Anticipó fricciones en las normas que modifican los quórums en las sociedades anónimas, por el riesgo de perjudicar a los accionistas minoritarios, y en las comisiones a vehículos nacionales que se permitirán a los fondos de pensiones, que a su juicio requieren parámetros claros de resultados esperados por Hacienda. Entre las materias omitidas mencionó la reducción de la Tasa Máxima Convencional, incluida solo para operaciones entre partes calificadas, y cambios a la Ley de Fraudes, argumentando que el encarecimiento de cuentas corrientes y seguros ha dejado a chilenos fuera del sistema formal y expuestos a préstamos informales.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Presidente de la Abif por Fonavi: “Lo asumo más bien como una medida transitoria”</w:t>
      </w:r>
    </w:p>
    <w:p>
      <w:pPr>
        <w:spacing w:before="40" w:after="60"/>
        <w:ind w:left="283"/>
      </w:pPr>
      <w:r>
        <w:rPr>
          <w:rFonts w:ascii="Arial" w:hAnsi="Arial"/>
          <w:color w:val="404040"/>
          <w:sz w:val="21"/>
        </w:rPr>
        <w:t>El presidente de la Asociación de Bancos e Instituciones Financieras, José Manuel Mena, señaló desde el ChileDay que la banca privada respalda la creación del fondo estatal para financiar créditos hipotecarios, pero que su diseño técnico aún requiere trabajo en materia de compra de carteras y gestión de riesgo. Descartó que exista una restricción de capital en la industria para colocar crédito, ya que el uso de capital bancario se ubica en 17% frente a un límite inferior cercano a 12%, y estimó que el Fonavi —con un financiamiento de hasta US$ 2.000 millones y un tope de UF 6.000 por operación— es una medida transitoria que no debería concentrarse en segmentos de altos ingresos. Aportó como respaldo que la morosidad hipotecaria bordea algo más de 2% y que el castigo de cartera es cercano a 0,5%, dado que la cobranza en ese segmento funciona. Su principal reparo fue la exclusión de la actualización de la Tasa Máxima Convencional para créditos en cuotas bajo $ 5 millones, un segmento que a su juicio quedó capturado por la informalidad y la delincuencia, y cuyo tratamiento considera un problema país más que un beneficio para los bancos.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Google responde a los canales de TV y sostiene que el contenido noticioso "no tiene impacto alguno" en sus ingresos</w:t>
      </w:r>
    </w:p>
    <w:p>
      <w:pPr>
        <w:spacing w:before="40" w:after="60"/>
        <w:ind w:left="283"/>
      </w:pPr>
      <w:r>
        <w:rPr>
          <w:rFonts w:ascii="Arial" w:hAnsi="Arial"/>
          <w:color w:val="404040"/>
          <w:sz w:val="21"/>
        </w:rPr>
        <w:t>Google y su matriz Alphabet contestaron en 209 páginas, a través del estudio Cariola Díez Pérez-Cotapos, las demandas que Canal 13, Mega, Chilevisión, TVN y TV+ presentaron ante el TDLC por abuso de posición dominante en búsqueda y publicidad digital, sosteniendo que ser grande no equivale a ser abusivo y que la multa solicitada —30% de sus ingresos publicitarios en Chile, la más alta jamás pedida por una infracción a la libre competencia en el país— vulnera el principio de proporcionalidad. La multinacional afirmó que el contenido noticioso no incide en sus ingresos publicitarios y respaldó su tesis con cifras internas que sitúan las consultas de noticias en torno a 1-2% del total de búsquedas, además de un ensayo aleatorio que eliminó noticias para el 1% de los usuarios en ocho países europeos sin producir cambios estadísticamente significativos en los ingresos, pese a una caída de 0,8% en usuarios promedio diarios. Argumentó también que redirige más de 24 mil millones de visitas mensuales a sitios de noticias y que el tráfico de los medios no depende exclusivamente de su buscador, ya que en Chile 45% de las personas accede a noticias principalmente vía redes sociales. El siguiente paso procesal es que el TDLC cite a las partes a una audiencia de conciliación.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Querella acusa “engaño deliberado” en venta de edificio en Vitacura y apunta a Consorcio</w:t>
      </w:r>
    </w:p>
    <w:p>
      <w:pPr>
        <w:spacing w:before="40" w:after="60"/>
        <w:ind w:left="283"/>
      </w:pPr>
      <w:r>
        <w:rPr>
          <w:rFonts w:ascii="Arial" w:hAnsi="Arial"/>
          <w:color w:val="404040"/>
          <w:sz w:val="21"/>
        </w:rPr>
        <w:t>Dos querellas presentadas por el exfiscal Sergio Coronado en representación del acreedor Asesorías e Inversiones CT Capital acusan a Banco Consorcio y al liquidador Cristián Harrison de haber orquestado un esquema para enajenar el edificio Alonso Square, principal activo de Inmobiliaria Monroy Deco, en condiciones perjudiciales para la masa de acreedores. Según los escritos, durante el proceso de liquidación se rechazó una oferta de CT Capital y Santiago East por cerca de US$ 31,6 millones y se aceptó otra por unos US$ 30,5 millones, pese a que Banco Consorcio y sus afiliadas concentraban más del 90% de los votos de la junta de acreedores y sociedades del mismo grupo —Evoluciona y Compañía de Seguros de Vida Consorcio— participaron mediante un mutuo endosable en el financiamiento del comprador, configurando a juicio de los querellantes un conflicto de interés. La compraventa se formalizó el 30 de abril de 2026, siete días después de la junta, y las unidades quedaron inscritas en junio a nombre de Inmobiliaria Alonso SpA; Coronado pide un peritaje y estima el perjuicio en hasta US$ 12,2 millones si el activo se valorizara cerca de US$ 42,7 millones. La querella contra el liquidador fue declarada inadmisible por el 4° Juzgado de Garantía de Santiago y está apelada, mientras la causa contra el banco sigue en trámite con el fiscal César Urzúa a cargo; Consorcio no respondió a las consultas del medio.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CEO de Santander Chile sobre MK4: pone foco en distribución de riesgos del Fonavi</w:t>
      </w:r>
    </w:p>
    <w:p>
      <w:pPr>
        <w:spacing w:before="40" w:after="60"/>
        <w:ind w:left="283"/>
      </w:pPr>
      <w:r>
        <w:rPr>
          <w:rFonts w:ascii="Arial" w:hAnsi="Arial"/>
          <w:color w:val="404040"/>
          <w:sz w:val="21"/>
        </w:rPr>
        <w:t>El gerente general y country head de Santander Chile, Andrés Trautmann, valoró que el desarrollo del mercado de capitales vuelva a ser prioridad, pero advirtió que la MK4 deberá precisar cómo operará el fondo de ahorro para el pie y cómo se repartirán los riesgos entre las personas, la banca y el mercado de capitales, ya que las condiciones hipotecarias dependen del costo del financiamiento de largo plazo y del entorno macroeconómico. Ilustró el deterioro en el acceso a la vivienda señalando que una familia de ingreso promedio pasó de necesitar 7,6 años de ingresos totales en 2019 a 11,4 años en 2024 para comprar una propiedad, y anticipó que los efectos de la reforma serán graduales y no inmediatos. Sobre la ampliación de fuentes de financiamiento empresarial, descartó que los bonos y fondos de deuda privada compitan con el crédito bancario, definiéndolos como alternativas complementarias en las que Santander busca actuar como articulador entre empresas e inversionistas. Respecto de convertir a Chile en un centro financiero regional, celebró las medidas tributarias para atraer inversión, pero planteó que se requiere una agenda de largo plazo con mercados más profundos, estabilidad regulatoria e integración internacional.</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FMI cree que Chile puede crecer al 3% y que debe reforzar las reservas fiscales ante alto precio del cobre</w:t>
      </w:r>
    </w:p>
    <w:p>
      <w:pPr>
        <w:spacing w:before="40" w:after="60"/>
        <w:ind w:left="283"/>
      </w:pPr>
      <w:r>
        <w:rPr>
          <w:rFonts w:ascii="Arial" w:hAnsi="Arial"/>
          <w:color w:val="404040"/>
          <w:sz w:val="21"/>
        </w:rPr>
        <w:t>El nuevo jefe de misión del FMI para Chile, Bikas Joshi, sostuvo que la actual desaceleración es mayoritariamente temporal y refleja una caída transitoria de la producción de cobre, proyectando una recuperación en 2027 y un crecimiento cercano a 3% anual a mediano plazo si los precios del metal se mantienen elevados y se concretan las reformas previstas, en el marco de la Línea de Crédito Flexible por hasta US$ 11.800 millones aprobada a fines de agosto. Identificó como medidas más prometedoras las reformas regulatorias y la agilización de permisos de inversión, junto con mejoras en infraestructura logística, competencias laborales, vínculos universidad-empresa y mayor participación femenina vía ley de sala cuna, y se mostró favorable a recortar impuestos, desregular y reducir el gasto público de forma simultánea por considerarlas medidas complementarias. Advirtió que la alta dependencia de materias primas es una vulnerabilidad por la volatilidad de precios y el encarecimiento de la producción a medida que caen las leyes del mineral, recomendando aprovechar los períodos favorables para reforzar reservas fiscales y externas, mantener el tipo de cambio como amortiguador y evitar comprometer gasto permanente con ingresos transitorios. Sobre el impacto de la guerra en Medio Oriente, señaló que la inflación subió de 2,4% en febrero a 4,3% en junio por combustibles y transporte, con presiones subyacentes contenidas y un costo fiscal derivado del mecanismo de estabilización de precios del petróleo.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OOPP, Salud, Vivienda y GORE: las razones de la caída de la inversión pública que está en la mira de Hacienda</w:t>
      </w:r>
    </w:p>
    <w:p>
      <w:pPr>
        <w:spacing w:before="40" w:after="60"/>
        <w:ind w:left="283"/>
      </w:pPr>
      <w:r>
        <w:rPr>
          <w:rFonts w:ascii="Arial" w:hAnsi="Arial"/>
          <w:color w:val="404040"/>
          <w:sz w:val="21"/>
        </w:rPr>
        <w:t>La inversión pública acumula una caída de 23,5% entre enero y julio de 2026, dentro de un gasto de capital que se reduce 14,2% en el año, en un contexto de recorte fiscal superior a US$ 2.000 millones y un Banco Central que anticipa un crecimiento del PIB bajo 1%. El Consejo Fiscal Autónomo advirtió que US$ 491 millones del ajuste —equivalentes a 0,12% del PIB— se concentran en gasto de capital, lo que podría frenar la recuperación económica, mientras en julio ese ítem se contrajo 16%, con transferencias de capital desplomándose 21,6%. Entre las partidas con mayor presupuesto de inversión, Salud ejecutó solo 27% frente a 40,3% del año anterior, Vivienda 33,6% versus 46,5% y Obras Públicas 44,7% frente a 46,9%, explicado por menores pagos en proyectos como el Puente Chacao y la concesión Ruta 5 Santiago-Los Vilos, además de demoras en identificación y priorización de iniciativas. Los Gobiernos Regionales también retrocedieron, con 38,4% de ejecución frente a 44,8% hace un año —O'Higgins, Los Ríos y Atacama bajo 30%—, y el ministro de Hacienda, Jorge Quiroz, prepara un paquete de medidas para acelerar la ejecución en el último trimestre de 2026 y el primero de 2027.</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Gobierno de De la Espriella logra primer aval para aumentar en 16% el presupuesto de 2027</w:t>
      </w:r>
    </w:p>
    <w:p>
      <w:pPr>
        <w:spacing w:before="40" w:after="60"/>
        <w:ind w:left="283"/>
      </w:pPr>
      <w:r>
        <w:rPr>
          <w:rFonts w:ascii="Arial" w:hAnsi="Arial"/>
          <w:color w:val="404040"/>
          <w:sz w:val="21"/>
        </w:rPr>
        <w:t>Las comisiones económicas del Congreso colombiano aprobaron el monto global de 634,9 billones de pesos (unos US$ 204 mil millones) para el Presupuesto General de 2027 presentado por el gobierno de Abelardo de la Espriella, dando el primer paso a un aumento de 16% del gasto público que ha inquietado a los inversionistas por el deterioro de las cuentas fiscales. Del total, 392,6 billones irían a funcionamiento, 154 billones al servicio de la deuda y 86,9 billones a inversión, componente que caería 2,6 billones respecto de 2026 y pasaría de 16,2% a 13,7% del gasto total, concentrándose principalmente en inclusión social, transporte y trabajo. El plan implica colocar 150 billones de pesos en deuda interna y obtener el equivalente a 88 billones en créditos externos, con un déficit fiscal que podría superar 9% del PIB si no hay recortes, aunque el ministro de Hacienda Miguel Gómez aseguró que el Ejecutivo gastará significativamente menos que lo autorizado y ajustará sin subir impuestos. La aprobación es solo la primera etapa: las comisiones tienen hasta el 25 de septiembre para despachar el articulado, las plenarias inician su discusión el 1 de octubre y el Congreso debe aprobar definitivamente el proyecto antes del 20 de octubre.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cobre referencial en Londres toca un mínimo de tres semanas por el aumento de los inventarios</w:t>
      </w:r>
    </w:p>
    <w:p>
      <w:pPr>
        <w:spacing w:before="40" w:after="60"/>
        <w:ind w:left="283"/>
      </w:pPr>
      <w:r>
        <w:rPr>
          <w:rFonts w:ascii="Arial" w:hAnsi="Arial"/>
          <w:color w:val="404040"/>
          <w:sz w:val="21"/>
        </w:rPr>
        <w:t>El cobre a tres meses en la Bolsa de Metales de Londres tocó el martes su nivel más bajo en más de tres semanas al caer a US$ 13.926 por tonelada (US$ 6,31 por libra), su mínimo desde el 20 de agosto, antes de recuperarse 0,1% hasta US$ 14.021 por tonelada (US$ 6,35 por libra) por compras de oportunidad. La presión proviene del alza de casi 20% en los inventarios registrados de la LME desde mediados de agosto, hasta 242.900 toneladas, impulsada por las elevadas primas de corto plazo que la semana pasada se transformaron en descuentos, lo que haría que las entregas se agoten con rapidez. Los precios comenzaron a ceder tras conocerse que el presidente Donald Trump aún no define la imposición de aranceles al metal rojo, escenario que durante 18 meses había empujado el cobre hacia Estados Unidos y llevado los inventarios de la Comex a máximos históricos; el analista Tom Price de Panmure Liberum estimó que finalmente los aplicará para evitar la mayor reversión comercial en la historia del cobre. A ello se suma el efecto de un petróleo cercano a US$ 107 por barril —frente a casi US$ 87 a fines de agosto— sobre el crecimiento y la demanda industrial, y la fortaleza del dólar, que encarece las materias primas para tenedores de otras divisas.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 rendimiento de los bonos del Tesoro de EEUU a 10 años alcanza su nivel más alto desde la crisis financiera mundial</w:t>
      </w:r>
    </w:p>
    <w:p>
      <w:pPr>
        <w:spacing w:before="40" w:after="60"/>
        <w:ind w:left="283"/>
      </w:pPr>
      <w:r>
        <w:rPr>
          <w:rFonts w:ascii="Arial" w:hAnsi="Arial"/>
          <w:color w:val="404040"/>
          <w:sz w:val="21"/>
        </w:rPr>
        <w:t>El rendimiento del bono del Tesoro estadounidense a 10 años llegó a 5,04% durante las operaciones en Londres, su nivel más alto desde 2007, luego de superar el lunes el umbral de 5% por primera vez desde 2023 en medio de una venta masiva de deuda desencadenada por la crisis energética derivada de la guerra de Irán. El repunte de los precios del petróleo —con el Brent subiendo 2,3% hasta US$ 108,14— ha reavivado el temor a una inflación persistente sobre la meta, mientras los operadores de futuros asignan 95% de probabilidad a que la Fed suba tasas este miércoles, en choque directo con la preferencia de Donald Trump por abaratar el costo del financiamiento. La atención también se ha volcado sobre los US$ 40 billones de deuda estadounidense y el riesgo de una trayectoria fiscal insostenible, según Jenny Zhang de AllianzGI, quien apuntó a que la credibilidad de la Fed y del presidente Warsh está bajo escrutinio. El movimiento fue global: los bonos japoneses a 10 años alcanzaron 3,04%, máximo en 30 años, los gilts británicos subieron a 5,42% y el bund alemán a 3,56%, con el mercado descontando cerca de 80% de probabilidad de que el Banco de Japón eleve su tasa a 1,25%, el nivel más alto en 31 años.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Líderes empresariales, políticos y del mercado se posicionan ante dilema sobre la inteligencia artificial</w:t>
      </w:r>
    </w:p>
    <w:p>
      <w:pPr>
        <w:spacing w:before="40" w:after="60"/>
        <w:ind w:left="283"/>
      </w:pPr>
      <w:r>
        <w:rPr>
          <w:rFonts w:ascii="Arial" w:hAnsi="Arial"/>
          <w:color w:val="404040"/>
          <w:sz w:val="21"/>
        </w:rPr>
        <w:t>El llamado de los líderes de la industria de la inteligencia artificial a moderar el desarrollo de los modelos más avanzados golpeó de inmediato a los mercados, con SoftBank desplomándose 10,7% en Asia, caídas en SK Hynix, Samsung y TSMC, y un retroceso de 5,9% del índice de semiconductores de Filadelfia, con bajas de 3,3% en Nvidia, 4,4% en AMD y 5,5% en Micron. El debate se originó en el ensayo We Must Pace the Frontier del CEO de Anthropic, Dario Amodei, quien propuso frenar el aumento de capacidades cuando las medidas de seguridad no logren seguir el ritmo, ganar tiempo para mejorar pruebas, sumar evaluadores externos y coordinar estándares internacionales incluyendo a China, advirtiendo que un incidente podría causar daños por cientos de miles de millones de dólares. Su planteamiento recibió respaldo de Elon Musk, Sam Altman —quien aclaró que moderar no significa detener—, Demis Hassabis y Satya Nadella, mientras el alto comisionado de la ONU para los Derechos Humanos, Volker Türk, pidió acción urgente para regular la tecnología. En contraste, Michael Burry sostuvo que una desaceleración beneficia a los actores dominantes y podría encubrir una pérdida de dinamismo, los gobiernos de Estados Unidos y China rechazaron frenar el desarrollo por razones distintas, y en la política estadounidense el senador Bernie Sanders y Steve Bannon coincidieron en impulsar una pausa temporal, un regulador federal y la prohibición de sistemas fuera del control humano.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Inversionistas se inquietan por una posible desaceleración del gasto en IA tras advertencias de la industria</w:t>
      </w:r>
    </w:p>
    <w:p>
      <w:pPr>
        <w:spacing w:before="40" w:after="60"/>
        <w:ind w:left="283"/>
      </w:pPr>
      <w:r>
        <w:rPr>
          <w:rFonts w:ascii="Arial" w:hAnsi="Arial"/>
          <w:color w:val="404040"/>
          <w:sz w:val="21"/>
        </w:rPr>
        <w:t>Los inversionistas comenzaron a mostrar nerviosismo frente al rally bursátil impulsado por la inteligencia artificial luego de que líderes del sector, encabezados por Dario Amodei de Anthropic, llamaran a moderar el ritmo de desarrollo, en un escenario de mayores riesgos regulatorios y macroeconómicos. Wall Street vigila cualquier señal de desaceleración en un gasto que se proyecta cerca de US$ 800 mil millones en 2026, con los hiperescaladores —Microsoft, Alphabet, Amazon, Meta y Oracle— desembolsando unos US$ 795 mil millones este año y casi US$ 1,08 billón en 2027 según BofA Global Research. Chuck Carlson, de Horizon Investment Services, señaló que el problema surgiría solo si aparecen cancelaciones concretas de pedidos, centros de datos o contratos de construcción, mientras Erik Kratz, de Arena Private Wealth, apuntó que el castigo se concentra en la capa de proveedores de infraestructura más que en los hiperescaladores y que el verdadero riesgo es una reacción regulatoria excesiva, no la desaceleración misma. El episodio recuerda al tropiezo de comienzos de 2025 tras la irrupción de DeepSeek, aunque ahora el S&amp;P 500 y el Nasdaq se ubican apenas 2% bajo sus máximos históricos y enfrentan simultáneamente mayores rendimientos de bonos, petróleo al alza y una posible subida de tasas de la Fed, con el índice de semiconductores aún acumulando cerca de 60% de ganancia en 2026.</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Expertos chilenos escépticos ante propuesta de Anthropic por desacelerar la IA, pero advierten de riesgos</w:t>
      </w:r>
    </w:p>
    <w:p>
      <w:pPr>
        <w:spacing w:before="40" w:after="60"/>
        <w:ind w:left="283"/>
      </w:pPr>
      <w:r>
        <w:rPr>
          <w:rFonts w:ascii="Arial" w:hAnsi="Arial"/>
          <w:color w:val="404040"/>
          <w:sz w:val="21"/>
        </w:rPr>
        <w:t>Especialistas chilenos reaccionaron con división al llamado de Dario Amodei y otros líderes tecnológicos a desacelerar el desarrollo de modelos avanzados de inteligencia artificial ante riesgos como la pérdida de control, ciberataques o armas biológicas. Loreto Bravo, directora del Instituto de Data Science de la Universidad del Desarrollo e integrante del panel científico de la ONU sobre IA, interpretó las alertas como una movida de marketing y advirtió que frenar en Occidente mientras China avanza dejaría a la región más indefensa frente a amenazas de ciberseguridad; citó además un estudio de 2025 en que investigadores asignaron 5% de probabilidad a un escenario catastrófico, aunque 68% estimó que los beneficios superarán los costos. Ricardo Baeza-Yates, de la Universidad de Chile y Theodora AI, coincidió en el componente comercial —vinculándolo a la inminente apertura a bolsa de Anthropic— y calificó de exageración la advertencia sobre la extinción humana en una década, aunque consideró razonables las propuestas y situó como riesgos reales y actuales la desinformación, la discriminación, el impacto ambiental de los centros de datos, la salud mental y el empleo. Rodrigo Durán, gerente general del Cenia, descartó que se trate de marketing y valoró la dirección del ensayo como una discusión técnica legítima, aunque criticó que el mensaje se haya dirigido a los pares de la industria y no a gobiernos o instituciones democráticamente electas.</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Chileday: La apuesta de Chile por reactivar la inversión</w:t>
      </w:r>
    </w:p>
    <w:p>
      <w:pPr>
        <w:spacing w:before="40" w:after="60"/>
        <w:ind w:left="283"/>
      </w:pPr>
      <w:r>
        <w:rPr>
          <w:rFonts w:ascii="Arial" w:hAnsi="Arial"/>
          <w:color w:val="404040"/>
          <w:sz w:val="21"/>
        </w:rPr>
        <w:t>El ChileDay 2026 en Madrid reunió a más de 700 asistentes junto a cuatro ministros, el Banco Central y el Congreso, con un diagnóstico compartido de que el estancamiento económico responde a una caída estructural y multifactorial de la inversión más que a un bache coyuntural. El ministro de Hacienda, Jorge Quiroz, expuso que el crecimiento bajó de un promedio cercano a 4,5% antes de 2014 a apenas 2% en la última década, mientras la expansión de la inversión cayó de 8,6% a 1,7%, tasa que el gobierno se propone cuadruplicar apostando por reformas regulatorias —la MK4 y la Ley Marco de Permisos Sectoriales— antes que por estímulos fiscales; entre marzo y septiembre se aprobaron 167 proyectos por US$ 34 mil millones en el SEIA y el tiempo promedio de tramitación bajó de 30 a 15 meses. La presidenta ejecutiva de Banco Santander, Ana Botín, respaldó la dirección de las reformas destacando la fortaleza institucional, el capital humano y el cobre y litio como ventajas competitivas, aunque advirtió que el desafío es avanzar hacia una regulación inteligente porque el exceso regulatorio opera como un impuesto que pagan los ciudadanos. La columna concluye que el margen de error es escaso y que el cumplimiento de la meta de 12 meses en tramitaciones ambientales y la puesta en marcha efectiva de la bolsa junior serán los verdaderos termómetros del plan.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Acceso a los datos</w:t>
      </w:r>
    </w:p>
    <w:p>
      <w:pPr>
        <w:spacing w:before="40" w:after="60"/>
        <w:ind w:left="283"/>
      </w:pPr>
      <w:r>
        <w:rPr>
          <w:rFonts w:ascii="Arial" w:hAnsi="Arial"/>
          <w:color w:val="404040"/>
          <w:sz w:val="21"/>
        </w:rPr>
        <w:t>La columna plantea que, junto con integrar las bases de datos del Estado para evaluar políticas públicas, resulta clave asegurar la continuidad de las variables medidas y facilitar el acceso a investigadores con los resguardos correspondientes. Cita como ejemplo el Censo 2024, cuyos microdatos dejaron de entregar el código de zona censal, lo que impide cruzar variables y analizar indicadores a nivel de barrios pese a la publicación de conteos por manzana. Otro caso es el SII, que no pone a disposición para descarga la geografía de predios —aunque la ha ofrecido en licitaciones a privados—, dificultando la investigación sobre contribuciones y exenciones. El autor sostiene que el secreto estadístico es fundamental pero compatible con mecanismos de acceso protegido como los existentes en países anglosajones y escandinavos, sin los cuales evaluar políticas públicas seguirá siendo un desafío.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IVA a la vivienda: rebaja anunciada, certeza pendiente</w:t>
      </w:r>
    </w:p>
    <w:p>
      <w:pPr>
        <w:spacing w:before="40" w:after="60"/>
        <w:ind w:left="283"/>
      </w:pPr>
      <w:r>
        <w:rPr>
          <w:rFonts w:ascii="Arial" w:hAnsi="Arial"/>
          <w:color w:val="404040"/>
          <w:sz w:val="21"/>
        </w:rPr>
        <w:t>La columna advierte que la suspensión por un año del IVA a la primera venta de viviendas, anunciada para reactivar el sector y que según el subsecretario Vallebona las dejaría hasta 14% más baratas, produjo el efecto contrario al congelar el mercado, con caídas de ventas reportadas de entre 30% y 40% porque los compradores prefieren esperar la rebaja de noviembre. Señala que es un fenómeno conocido: en 2015 el anuncio de un alza del IVA adelantó las ventas antes de 2016 y las contrajo después, de modo que el anuncio siempre desplaza la demanda en el tiempo, solo que ahora frena la reactivación que se buscaba. El mecanismo puente para quienes compraron desde abril consiste en una devolución del artículo 126 del Código Tributario que solicita el vendedor y no el comprador, cuyo detalle operativo aún depende de una resolución del SII no dictada, y que además es de adopción voluntaria para las inmobiliarias, con ese 14% operando solo como techo. El autor no cuestiona el objetivo de reactivar el sector y reducir el stock de viviendas sin vender, sino el diseño y la oportunidad de la medida.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Tribunales Ambientales y proyectos judicializados</w:t>
      </w:r>
    </w:p>
    <w:p>
      <w:pPr>
        <w:spacing w:before="40" w:after="60"/>
        <w:ind w:left="283"/>
      </w:pPr>
      <w:r>
        <w:rPr>
          <w:rFonts w:ascii="Arial" w:hAnsi="Arial"/>
          <w:color w:val="404040"/>
          <w:sz w:val="21"/>
        </w:rPr>
        <w:t>La columna sostiene que la creciente judicialización ambiental se ha convertido en un obstáculo para acelerar la inversión en un momento en que el crecimiento vuelve a ser prioridad. Cita datos de la CPC según los cuales extender a la Corte Suprema los procesos iniciados en Tribunales Ambientales agrega en promedio 448 días de tramitación, duplicando los tiempos totales de judicialización, mientras que el 80% de las reclamaciones no modifica lo resuelto originalmente por la autoridad. El autor calcula que existen US$ 10.655 millones en proyectos en tramitación afectados por esta ineficiencia, que no se traduce en mejoras ambientales concretas. Como solución propone mayor claridad normativa, estándares técnicos consistentes y participación temprana de las comunidades, junto a mecanismos como el preanálisis voluntario y la evaluación en dos etapas planteada por Pivotes, orientados a resolver controversias antes de llegar a tribunales.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Pago a 30 días: no faltan leyes, falta cumplirlas</w:t>
      </w:r>
    </w:p>
    <w:p>
      <w:pPr>
        <w:spacing w:before="40" w:after="60"/>
        <w:ind w:left="283"/>
      </w:pPr>
      <w:r>
        <w:rPr>
          <w:rFonts w:ascii="Arial" w:hAnsi="Arial"/>
          <w:color w:val="404040"/>
          <w:sz w:val="21"/>
        </w:rPr>
        <w:t>La columna valora el anuncio del Ministerio de Economía de un proyecto de ley con incentivos al pago en 30 días, considerando que la falta de liquidez sigue siendo el principal problema de las PYME, pero cuestiona que el diagnóstico apunte a una nueva norma. Recuerda que la Ley de Pago a 30 Días rige desde 2019 y que el gobierno anterior prometió perfeccionarla y comprometió que el propio Estado pagaría a tiempo, con resultados modestos. Según datos de la Bolsa de Productos, las PYME cobran hoy en promedio a 44 días, y el sector público —con municipios y salud a la cabeza— figura entre los que más incumplen el plazo que la propia ley fija. El autor concluye que el problema no se resuelve con legislación adicional sino con voluntad de fiscalización, ya que ninguna reforma será creíble mientras el primer mal pagador sea el Estado.</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Contribuciones retroactivas</w:t>
      </w:r>
    </w:p>
    <w:p>
      <w:pPr>
        <w:spacing w:before="40" w:after="60"/>
        <w:ind w:left="283"/>
      </w:pPr>
      <w:r>
        <w:rPr>
          <w:rFonts w:ascii="Arial" w:hAnsi="Arial"/>
          <w:color w:val="404040"/>
          <w:sz w:val="21"/>
        </w:rPr>
        <w:t>La columna analiza el fallo del Tribunal Tributario y Aduanero de Valparaíso de enero de este año (RUC 25-9-0000037-3) que anuló un alza retroactiva de contribuciones emitida por el SII por falta de fundamentación técnica y jurídica del acto administrativo. El tribunal constató que el Servicio justificó el reavalúo limitándose a citar artículos legales y mencionar un certificado municipal, sin detallar los parámetros de tasación ni el razonamiento lógico que exige el Código Tributario. El autor plantea que todo acto tributario debe sostenerse por sí mismo y transparentar los criterios que originan una carga patrimonial. A partir de ello sostiene que la modernización del impuesto territorial no puede reducirse a rediseñar áreas homogéneas o coeficientes correctores, sino que debe eliminar discrecionalidades administrativas, revisar base y tasa, y repensar unos avalúos fiscales que hoy buscan recaudar anticipadamente plusvalías no materializadas en los ingresos de los propietarios.</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Se olvidaron otra vez de las PYME</w:t>
      </w:r>
    </w:p>
    <w:p>
      <w:pPr>
        <w:spacing w:before="40" w:after="60"/>
        <w:ind w:left="283"/>
      </w:pPr>
      <w:r>
        <w:rPr>
          <w:rFonts w:ascii="Arial" w:hAnsi="Arial"/>
          <w:color w:val="404040"/>
          <w:sz w:val="21"/>
        </w:rPr>
        <w:t>La columna critica que la reforma al mercado de capitales anunciada por el gobierno haya dejado fuera a las PYME, definidas por el autor como el motor del empleo del país. Señala que, si bien existen medidas puntuales que favorecen a segmentos muy específicos, ninguna apunta a ampliar y facilitar el acceso a financiamiento del sector en general, que con frecuencia es rechazado por el mercado tradicional. El diagnóstico se enmarca en un contexto de alto desempleo, inflación mayor a la esperada y una proyección de crecimiento del Banco Central reducida a menos de 1% para el año, factores que también golpean a las empresas de menor tamaño. Dado que la discusión legislativa recién comienza, el autor plantea que el Congreso tiene la oportunidad de corregir el proyecto a tiempo e incorporar medidas concretas de financiamiento para este segmento.</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15 de septiembre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