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24 De Junio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La fiebre del oro se enfría entre los inversionistas y el metal baja de la marca de US$ 4.000 la onza por primera vez desde noviembre</w:t>
      </w:r>
    </w:p>
    <w:p>
      <w:pPr>
        <w:spacing w:before="40" w:after="60"/>
        <w:ind w:left="283"/>
      </w:pPr>
      <w:r>
        <w:rPr>
          <w:rFonts w:ascii="Arial" w:hAnsi="Arial"/>
          <w:color w:val="404040"/>
          <w:sz w:val="21"/>
        </w:rPr>
        <w:t>El oro spot cayó bajo los US$ 4.000 por onza por primera vez desde noviembre de 2025, presionado por un dólar más fuerte y la expectativa de que la Fed mantenga tasas altas o las suba este año tras su postura agresiva pos-reunión y los temores inflacionarios derivados del conflicto con Irán. El metal acumula una caída de más de US$ 1.500 desde su máximo histórico de US$ 5.594,82 alcanzado a fines de enero. Analistas como Tai Wong descartan un colapso pero anticipan una consolidación prolongada, mientras ING redujo sus proyecciones a un promedio de US$ 4.300 para el tercer trimestre de 2026 y US$ 4.600 para el cuarto, desde US$ 4.850 y US$ 5.000 anteriores.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al alza con impulso de Latam a medida que el petróleo borra casi todos sus avances posteriores a la guerra</w:t>
      </w:r>
    </w:p>
    <w:p>
      <w:pPr>
        <w:spacing w:before="40" w:after="60"/>
        <w:ind w:left="283"/>
      </w:pPr>
      <w:r>
        <w:rPr>
          <w:rFonts w:ascii="Arial" w:hAnsi="Arial"/>
          <w:color w:val="404040"/>
          <w:sz w:val="21"/>
        </w:rPr>
        <w:t>El IPSA subía 0,8% hasta 10.853,24 puntos impulsado por Latam Airlines (+4,1%) y SQM-B (+1,7%), mientras el petróleo Brent caía 4,5% a US$ 73,6 por barril ante la normalización del tráfico por el estrecho de Ormuz, acercándose a borrar las ganancias acumuladas desde el inicio de la guerra entre EEUU e Irán. Los rendimientos del Tesoro estadounidense bajaban en los tramos de 2 y 10 años, aunque se mantiene la expectativa de alzas de tasas en 2026 tras la última reunión de la Fed. En Wall Street el Nasdaq y el S&amp;P 500 avanzaban 0,4% y el Dow se mantenía estable, mientras en Europa y Asia las bolsas mostraban movimientos mixtos, con el Nikkei retrocediendo 0,9%.</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supera los $ 920 en la apertura a medida que la divisa escala en el plano global por diferenciales de tasas con la eurozona</w:t>
      </w:r>
    </w:p>
    <w:p>
      <w:pPr>
        <w:spacing w:before="40" w:after="60"/>
        <w:ind w:left="283"/>
      </w:pPr>
      <w:r>
        <w:rPr>
          <w:rFonts w:ascii="Arial" w:hAnsi="Arial"/>
          <w:color w:val="404040"/>
          <w:sz w:val="21"/>
        </w:rPr>
        <w:t>El dólar en Chile escaló $ 6,1 hasta $ 921,8, en línea con el fortalecimiento global de la divisa estadounidense, que llevó al dollar index a máximos desde mayo de 2025 (+0,3%, 101,7 puntos), mientras el cobre Comex cayó 1,7% a US$ 6,11 la libra, su menor nivel en siete semanas, y el petróleo Brent retrocedió 3% a US$ 74,8 por barril. El avance del dólar responde a la postura agresiva de la Fed bajo Kevin Warsh, que evalúa subir tasas hasta 50 pb adicionales, junto con señales de debilidad económica en la eurozona que alivian la presión sobre el BCE. Los mercados asignan un tercio de probabilidad a un alza de 25 pb en julio y casi 90% en septiembre, mientras se espera mañana la publicación del PIB del tercer trimestre de EEUU y datos de gasto en consumo personal de mayo.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Mallplaza lidera alza en capitalización bursátil, pero SQM y Banco de Chile mantienen primeros puestos</w:t>
      </w:r>
    </w:p>
    <w:p>
      <w:pPr>
        <w:spacing w:before="40" w:after="60"/>
        <w:ind w:left="283"/>
      </w:pPr>
      <w:r>
        <w:rPr>
          <w:rFonts w:ascii="Arial" w:hAnsi="Arial"/>
          <w:color w:val="404040"/>
          <w:sz w:val="21"/>
        </w:rPr>
        <w:t>En el primer semestre de 2026, Mallplaza fue la gran ganadora en capitalización bursátil dentro del IPSA, saltando del puesto 11 al 8 tras crecer 18,4% (de US$ 7.740 a US$ 9.170 millones), impulsada por su aumento de capital y la incorporación de los activos de Falabella en Perú. SQM mantuvo el liderazgo (de US$ 19.700 a US$ 20.760 millones) seguido de Banco de Chile y Latam Airlines, mientras Falabella cayó al cuarto lugar tras retroceder a US$ 15.930 millones. Cencosud retrocedió del puesto 9 al 11 (a US$ 6.610 millones) por su exposición al negocio de supermercados, golpeado por mayor competencia y costos laborales, y Empresas Copec también bajó su valorización a US$ 8.440 millones.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AFP “pasan por caja” en Asia: acciones de la región lideran ventas del sistema a mayo</w:t>
      </w:r>
    </w:p>
    <w:p>
      <w:pPr>
        <w:spacing w:before="40" w:after="60"/>
        <w:ind w:left="283"/>
      </w:pPr>
      <w:r>
        <w:rPr>
          <w:rFonts w:ascii="Arial" w:hAnsi="Arial"/>
          <w:color w:val="404040"/>
          <w:sz w:val="21"/>
        </w:rPr>
        <w:t>Las AFP profundizaron en mayo la venta de acciones asiáticas por US$ 2.100 millones, liderada por Corea del Sur (US$ 950 millones), Taiwán (US$ 610 millones) e India (US$ 402 millones), acumulando US$ 2.300 millones en ventas en la región durante el año, según un informe de HMC Capital. Ejecutivos de AFP Capital explican que las ventas responden a la toma de utilidades tras retornos excepcionales (28% en Corea y 14% en Taiwán) y no necesariamente a una reducción de exposición. En paralelo, EEUU y Europa también registraron salidas netas (US$ 1.200 y US$ 2.200 millones respectivamente), mientras Latinoamérica tuvo entradas por US$ 732 millones; en renta fija destacaron los bonos convertibles (US$ 1.000 millones en mayo) y los fondos money market en dólares, que saltaron a US$ 1.600 millones desde US$ 344 millones en abril.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Hacienda define prioridades para fortalecer el mercado de capitales y dinamizar su desarrollo</w:t>
      </w:r>
    </w:p>
    <w:p>
      <w:pPr>
        <w:spacing w:before="40" w:after="60"/>
        <w:ind w:left="283"/>
      </w:pPr>
      <w:r>
        <w:rPr>
          <w:rFonts w:ascii="Arial" w:hAnsi="Arial"/>
          <w:color w:val="404040"/>
          <w:sz w:val="21"/>
        </w:rPr>
        <w:t>El coordinador de mercado de capitales de Hacienda, Eugenio Symon, expuso en un evento de Clapes UC las prioridades de la cartera para fortalecer el mercado de capitales chileno, antes de presentar una reforma que incluirá materias tributarias y financieras. Entre las medidas mencionó agilizar la inscripción en el registro de valores, acelerar autorizaciones de la CMF, facilitar la creación de fondos y avanzar en formadores de mercado para el mercado de deuda, que hoy asciende a unos US$ 160 mil millones. Symon también advirtió que la reforma previsional dejó indefinido el rol de las AFP en su implementación, lo que considera riesgoso porque podría limitar la innovación y competencia entre administradoras si el regulador define una única trayectoria de inversión para todos los afiliados.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Cencosud profundiza su apuesta por supermercados en Brasil y acuerda compra de cadena premium St. Marche</w:t>
      </w:r>
    </w:p>
    <w:p>
      <w:pPr>
        <w:spacing w:before="40" w:after="60"/>
        <w:ind w:left="283"/>
      </w:pPr>
      <w:r>
        <w:rPr>
          <w:rFonts w:ascii="Arial" w:hAnsi="Arial"/>
          <w:color w:val="404040"/>
          <w:sz w:val="21"/>
        </w:rPr>
        <w:t>Cencosud, a través de su filial brasileña, acordó adquirir el 100% de la cadena de supermercados premium St. Marche, que opera 32 tiendas en São Paulo y registró ventas por unos US$ 216 millones (1.078 millones de reales) en los últimos doce meses. La operación se financiará con capital proveniente de desinversiones recientes de Cencosud en Brasil y profundiza su apuesta por el negocio supermercadista en ese país. El cierre queda sujeto a condiciones habituales, incluyendo la conclusión del proceso de reorganización judicial del vendedor y la aprobación del regulador de competencia brasileño CADE.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Anglo American y Codelco completan acuerdo Andina–Los Bronces y allanan el camino para sumar 2,7 millones de toneladas de cobre adicionales</w:t>
      </w:r>
    </w:p>
    <w:p>
      <w:pPr>
        <w:spacing w:before="40" w:after="60"/>
        <w:ind w:left="283"/>
      </w:pPr>
      <w:r>
        <w:rPr>
          <w:rFonts w:ascii="Arial" w:hAnsi="Arial"/>
          <w:color w:val="404040"/>
          <w:sz w:val="21"/>
        </w:rPr>
        <w:t>Anglo American y Codelco cerraron el acuerdo definitivo para implementar el Plan Minero Conjunto entre sus minas Andina y Los Bronces, tras obtener las aprobaciones regulatorias y de libre competencia necesarias. El plan permitiría liberar 2,7 millones de toneladas adicionales de cobre durante 21 años (unas 120.000 toneladas anuales) con baja inversión de capital, generando al menos US$ 5.000 millones en valor incremental antes de impuestos a repartir entre ambas compañías, aunque su implementación depende de permisos ambientales previstos para 2030. Altos ejecutivos de Anglo American, Mitsubishi y Mitsui viajaron a Santiago para la firma, que se enmarca en el acuerdo anunciado en septiembre de 2025 y busca apoyar la meta de Chile de alcanzar 6 millones de toneladas de cobre anuales hacia 2030.</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Gremios apoyan proyecto para saldar deuda con distribuidoras, pero revisión de contratos asoma como eventual punto de discusión</w:t>
      </w:r>
    </w:p>
    <w:p>
      <w:pPr>
        <w:spacing w:before="40" w:after="60"/>
        <w:ind w:left="283"/>
      </w:pPr>
      <w:r>
        <w:rPr>
          <w:rFonts w:ascii="Arial" w:hAnsi="Arial"/>
          <w:color w:val="404040"/>
          <w:sz w:val="21"/>
        </w:rPr>
        <w:t>El proyecto de ley para enfrentar la deuda del Estado con las distribuidoras eléctricas -que alcanza US$ 931 millones por la reliquidación del VAD- comenzó su discusión en la Cámara de Diputados con respaldo general de los gremios, aunque persisten dudas sobre el tratamiento de intereses entre 2024 y 2028 y sobre una cláusula que permitiría revisar excepcionalmente contratos de suministro con generadoras. La ministra de Energía, Ximena Rincón, destacó que la norma busca ordenar los procesos tarifarios además de saldar la deuda, contemplando el inicio de pagos a partir de 2028. Gremios como Empresas Eléctricas y Generadoras de Chile valoraron el proyecto pero pidieron perfeccionarlo, mientras parlamentarios y la asociación de clientes eléctricos (Acenor) advirtieron riesgos de que la facultad excepcional de revisión de contratos se vuelva permanente y genere mayores costos.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Dos recursos de vecinos y ambientalistas amenazan con judicializar megaproyecto Maratué de 14 mil viviendas en Puchuncaví</w:t>
      </w:r>
    </w:p>
    <w:p>
      <w:pPr>
        <w:spacing w:before="40" w:after="60"/>
        <w:ind w:left="283"/>
      </w:pPr>
      <w:r>
        <w:rPr>
          <w:rFonts w:ascii="Arial" w:hAnsi="Arial"/>
          <w:color w:val="404040"/>
          <w:sz w:val="21"/>
        </w:rPr>
        <w:t>Dos recursos de reclamación presentados ante el Segundo Tribunal Ambiental de Santiago amenazan con judicializar el megaproyecto inmobiliario Maratué en Puchuncaví, de la familia Lería Luksic, que contempla hasta 14.180 viviendas y una inversión de US$ 2.000 millones en un horizonte de 45 años. Las acciones, presentadas por la ONG Defensa Ambiental y por la activista Katta Alonso, cuestionan la Resolución de Calificación Ambiental ratificada por el Comité de Ministros en abril, alegando falta de certeza sobre el abastecimiento de agua en una zona de escasez hídrica crítica. La empresa defiende el proyecto señalando que cumple la normativa vigente y que más del 50% de su superficie se destinará a áreas verdes y conservación, mientras el tribunal mantiene los recursos en análisis de admisibilidad.</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 más de un año del conflicto, MOP y OHLA no logran cerrar acuerdo por hospitales del sur y las obras continúan rezagadas</w:t>
      </w:r>
    </w:p>
    <w:p>
      <w:pPr>
        <w:spacing w:before="40" w:after="60"/>
        <w:ind w:left="283"/>
      </w:pPr>
      <w:r>
        <w:rPr>
          <w:rFonts w:ascii="Arial" w:hAnsi="Arial"/>
          <w:color w:val="404040"/>
          <w:sz w:val="21"/>
        </w:rPr>
        <w:t>A más de un año del conflicto entre OHLA y el MOP por la Red Biobío, el acuerdo alcanzado en noviembre de 2025 para evitar el término anticipado de la concesión y avaluado en US$ 325 millones aún no se ha formalizado en decreto, lo que mantiene rezagada la construcción de los cuatro hospitales (Santa Bárbara, Nacimiento, Coronel y Lota), con avances de entre 4% y 18% frente al 60% que debían exhibir a fin de 2025. El entendimiento extendió los plazos de entrega hasta 2030, pero su revisión por Dipres, CDE y nuevas autoridades del MOP y Salud podría tomar al menos tres meses más. Más allá de la formalización, fuentes de la industria advierten que OHLA enfrentará el desafío adicional de conseguir financiamiento, aunque cercanos a la concesionaria destacan el avance favorable del cierre financiero de otra de sus concesiones, el Instituto Nacional del Cáncer.</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"Falta de diálogo y pantomima": el duro round entre Quiroz y la senadora Vodanovic por el proyecto misceláneo que Hacienda insiste en que se vote hoy</w:t>
      </w:r>
    </w:p>
    <w:p>
      <w:pPr>
        <w:spacing w:before="40" w:after="60"/>
        <w:ind w:left="283"/>
      </w:pPr>
      <w:r>
        <w:rPr>
          <w:rFonts w:ascii="Arial" w:hAnsi="Arial"/>
          <w:color w:val="404040"/>
          <w:sz w:val="21"/>
        </w:rPr>
        <w:t>El ministro de Hacienda, Jorge Quiroz, y la senadora y presidenta del PS, Paulina Vodanovic, sostuvieron un duro cruce de declaraciones ante la votación en el Senado del proyecto misceláneo de reactivación y reconstrucción, que el Ejecutivo insiste en votar de inmediato pese a los llamados de la oposición a abrir una ventana de negociación hasta julio. Quiroz defendió avanzar pronto argumentando que el país "no puede seguir poniéndole impuestos al crecimiento", mientras Vodanovic acusó falta de diálogo y advirtió que, de votarse sin acuerdo, el proyecto contará con el voto en contra de todo el PS por implicar menor recaudación. El senador republicano Arturo Squella respaldó votar pronto, señalando que prefiere "ganar por un voto" antes que diluir el objetivo del proyecto negociando apoyos 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Banco Central consideró “improcedente” un movimiento de la tasa de interés durante su reunión de junio</w:t>
      </w:r>
    </w:p>
    <w:p>
      <w:pPr>
        <w:spacing w:before="40" w:after="60"/>
        <w:ind w:left="283"/>
      </w:pPr>
      <w:r>
        <w:rPr>
          <w:rFonts w:ascii="Arial" w:hAnsi="Arial"/>
          <w:color w:val="404040"/>
          <w:sz w:val="21"/>
        </w:rPr>
        <w:t>El Banco Central mantuvo sin cambios su Tasa de Política Monetaria en 4,5% en su reunión de junio, decisión adoptada por unanimidad de sus cinco consejeros pese al reciente cese al fuego entre Estados Unidos e Irán, según consta en la minuta publicada este miércoles. El consejo consideró "improcedente" cualquier movimiento distinto a mantener la tasa, argumentando que la credibilidad de la política monetaria exige la misma cautela frente a noticias positivas que frente a negativas. El ente rector reiteró su enfoque de evaluación reunión a reunión, señalando que la menor probabilidad de escenarios inflacionarios se compensa con la necesidad de más antecedentes sobre la consolidación de la distensión en Medio Oriente y sus efectos en la demanda interna.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Matías Acevedo: “Hago un llamado al Consejo Fiscal a que sea más claro”</w:t>
      </w:r>
    </w:p>
    <w:p>
      <w:pPr>
        <w:spacing w:before="40" w:after="60"/>
        <w:ind w:left="283"/>
      </w:pPr>
      <w:r>
        <w:rPr>
          <w:rFonts w:ascii="Arial" w:hAnsi="Arial"/>
          <w:color w:val="404040"/>
          <w:sz w:val="21"/>
        </w:rPr>
        <w:t>El exdirector de Presupuestos Matías Acevedo cuestionó la falta de claridad del Consejo Fiscal Autónomo (CFA) en su informe sobre la controversia de las proyecciones de deuda estatal, que el ministro de Hacienda Jorge Quiroz denunció como un error del gobierno anterior que aumentaría en US$ 10.600 millones las necesidades de endeudamiento hacia 2030. Acevedo señaló que el CFA no desmiente la denuncia original, sino que reconoce no poder explicar por qué la proyección de deuda solo aumentó en US$ 4.000 millones para 2026-2030 en vez de los US$ 14.000 millones que implicaría el deterioro del déficit fiscal, debido a supuestos de ajuste financiero no explicitados. El economista remarcó que validar que las cifras "cuadran" no equivale a validar que reflejan realmente las necesidades de financiamiento del Estado, y pidió al Consejo Fiscal mayor claridad comunicacional para evitar confusión en la opinión pública.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DT cambia criterio y vuelve a restringir negociación colectiva de trabajadores que se mueven de sindicato</w:t>
      </w:r>
    </w:p>
    <w:p>
      <w:pPr>
        <w:spacing w:before="40" w:after="60"/>
        <w:ind w:left="283"/>
      </w:pPr>
      <w:r>
        <w:rPr>
          <w:rFonts w:ascii="Arial" w:hAnsi="Arial"/>
          <w:color w:val="404040"/>
          <w:sz w:val="21"/>
        </w:rPr>
        <w:t>La Dirección del Trabajo, liderada por David Oddó, cambió de criterio y resolvió que los trabajadores que se trasladan de sindicato no podrán incorporarse a las negociaciones colectivas de su nueva organización hasta que expire el instrumento colectivo vigente con el sindicato anterior, dejando sin efecto una doctrina vigente desde 2023. Bajo la nueva interpretación, el trabajador permanece sujeto al instrumento de su sindicato original y debe seguir pagando su cuota mensual mientras dure dicho contrato. Abogados laborales como Lilia Jerez y Cristóbal Raby calificaron el ajuste como positivo, señalando que el criterio anterior generaba incentivos confusos y era usado por algunos sindicatos para ganar fueros y alterar procesos de huelga afiliando masivamente a trabajadores sujetos a otros instrumentos colectivos.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Definición presidencial de Perú entra en la recta final: rechazan pedido de nulidad de Sánchez sobre votos del exterior y Fujimori consolida su ventaja</w:t>
      </w:r>
    </w:p>
    <w:p>
      <w:pPr>
        <w:spacing w:before="40" w:after="60"/>
        <w:ind w:left="283"/>
      </w:pPr>
      <w:r>
        <w:rPr>
          <w:rFonts w:ascii="Arial" w:hAnsi="Arial"/>
          <w:color w:val="404040"/>
          <w:sz w:val="21"/>
        </w:rPr>
        <w:t>El proceso electoral peruano entra en su recta final, con la proclamación presidencial fijada para el 7 de julio luego de que el Jurado Electoral Especial rechazara por motivos de plazo y forma los recursos de Roberto Sánchez para anular votos del exterior, lo que consolidó la ventaja de Keiko Fujimori, quien con el 99,8% de actas contabilizadas obtiene 50,1% de los votos frente a 49,9% de Sánchez, una diferencia de solo 43.386 votos. Sánchez endureció su discurso afirmando que no reconocerá un eventual gobierno de Fujimori si el JNE no resuelve "en atención a la seguridad jurídica", contrastando con sus declaraciones previas a la segunda vuelta en que se comprometía a respetar los resultados. Restan que la ONPE complete el cómputo al 100% y que el JNE resuelva los recursos pendientes antes de la proclamación oficial.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Venezuela está por revelar una deuda de US$ 240 mil millones en la mayor reestructuración de la historia</w:t>
      </w:r>
    </w:p>
    <w:p>
      <w:pPr>
        <w:spacing w:before="40" w:after="60"/>
        <w:ind w:left="283"/>
      </w:pPr>
      <w:r>
        <w:rPr>
          <w:rFonts w:ascii="Arial" w:hAnsi="Arial"/>
          <w:color w:val="404040"/>
          <w:sz w:val="21"/>
        </w:rPr>
        <w:t>Venezuela se prepara para revelar a sus acreedores una deuda de US$ 240 mil millones, muy por encima de las estimaciones previas de US$ 150.000-200.000 millones, en lo que sería la mayor reestructuración soberana de la historia tras la captura de Nicolás Maduro en enero. El banco Centerview Partners, asesor financiero de Caracas liderado por Matthieu Pigasse, elabora un plan -a publicarse a comienzos de julio- para devolver la deuda a una trayectoria sostenible, en un proceso inusual al no contar con el análisis de sostenibilidad del FMI, lo que algunos interpretan como señal de que Venezuela buscará una quita significativa. La deuda incluye unos US$ 60.000 millones en bonos de PDVSA y del Estado más US$ 40.000 millones en intereses acumulados, además de pasivos comerciales, demandas por expropiaciones, y deudas con China, Rusia y bancos de desarrollo; los bonos venezolanos ya se transan en 55 centavos por dólar, frente a 33 centavos antes de la caída de Maduro.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chips de IA de Nvidia prohibidos duplican su precio en el mercado negro de China</w:t>
      </w:r>
    </w:p>
    <w:p>
      <w:pPr>
        <w:spacing w:before="40" w:after="60"/>
        <w:ind w:left="283"/>
      </w:pPr>
      <w:r>
        <w:rPr>
          <w:rFonts w:ascii="Arial" w:hAnsi="Arial"/>
          <w:color w:val="404040"/>
          <w:sz w:val="21"/>
        </w:rPr>
        <w:t>Los precios de los chips de IA de Nvidia prohibidos para exportación a China más que se duplicaron en el mercado negro del país en los últimos seis meses, como resultado de la ofensiva de Estados Unidos contra las rutas ilícitas de exportación. El servidor DGX B300 pasó de 4 millones a más de 8 millones de yuanes (unos US$ 1,1 millones), mientras la estación de trabajo RTX 6000 Pro subió de 50.000 a 130.000 yuanes; ambos productos están prohibidos bajo los controles de exportación de Washington. La mayor dificultad para contrabandear ha elevado también el costo de arrendar capacidad de cómputo en China a niveles comparables o superiores a los de EEUU, mientras crece la demanda de alternativas nacionales como el chip Ascend 950PR de Huawei y se recurre a equipos antiguos como el A100, cuyo precio subió de 200.000 a 600.000 yuanes.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José Manuel Restrepo: el vicepresidente electo que conducirá la economía de Colombia</w:t>
      </w:r>
    </w:p>
    <w:p>
      <w:pPr>
        <w:spacing w:before="40" w:after="60"/>
        <w:ind w:left="283"/>
      </w:pPr>
      <w:r>
        <w:rPr>
          <w:rFonts w:ascii="Arial" w:hAnsi="Arial"/>
          <w:color w:val="404040"/>
          <w:sz w:val="21"/>
        </w:rPr>
        <w:t>José Manuel Restrepo, economista de 57 años y exministro de Hacienda y Comercio bajo Iván Duque, asumirá como vicepresidente electo de Colombia junto al presidente electo Abelardo de la Espriella, encargado de la agenda internacional y de recuperar la confianza de inversionistas tras la gestión de Gustavo Petro. Su perfil tecnocrático fue clave para asegurar el respaldo de un millón de votos de la derecha tradicional en el balotaje y cuenta con el apoyo del empresariado, que lo asocia con "estabilidad económica". Bajo su conducción se espera una agenda de reducción gradual de impuestos corporativos, simplificación tributaria, fortalecimiento de las APP en infraestructura, reactivación de la exploración petrolera y de gas -incluyendo fracking-, y mantención del compromiso con la regla fiscal.</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OpenAI lanza Jalapeño, su primer chip desarrollado con Broadcom para ejecutar modelos de IA más rápido y barato</w:t>
      </w:r>
    </w:p>
    <w:p>
      <w:pPr>
        <w:spacing w:before="40" w:after="60"/>
        <w:ind w:left="283"/>
      </w:pPr>
      <w:r>
        <w:rPr>
          <w:rFonts w:ascii="Arial" w:hAnsi="Arial"/>
          <w:color w:val="404040"/>
          <w:sz w:val="21"/>
        </w:rPr>
        <w:t>OpenAI presentó Jalapeño, su primer chip de IA desarrollado junto a Broadcom, que ya muestra ahorros de costos de aproximadamente 50% frente a las GPU tradicionales según el CEO de Broadcom, Hock Tan, y será integrado en centros de datos de Microsoft y otros socios desde fines de este año, con miras a superar la meta de 1,3 gigavatios de capacidad desplegada el próximo año. El chip, enfocado en tareas de inferencia para grandes modelos de lenguaje, busca reducir la dependencia de OpenAI de Nvidia, aunque la compañía -que recaudó US$ 122.000 millones este año para financiar su infraestructura- también mantiene acuerdos con AMD y Cerebras. Ambas compañías proyectan una hoja de ruta con una próxima versión de chip para 2028, mientras las acciones de Broadcom subieron 1,6% a US$ 386,25, acumulando un alza cercana al 10% en el año.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startup Floid vende su operación en EEUU a una fintech europea para enfocarse en Chile y Perú</w:t>
      </w:r>
    </w:p>
    <w:p>
      <w:pPr>
        <w:spacing w:before="40" w:after="60"/>
        <w:ind w:left="283"/>
      </w:pPr>
      <w:r>
        <w:rPr>
          <w:rFonts w:ascii="Arial" w:hAnsi="Arial"/>
          <w:color w:val="404040"/>
          <w:sz w:val="21"/>
        </w:rPr>
        <w:t>La fintech chileno-sueca Floid vendió su filial en Estados Unidos -con clientes y equipo local- a la firma británica PayModum, por un monto no revelado, para concentrar sus esfuerzos en Chile y Perú, sus mercados de mayor crecimiento, además de Colombia, México y Suecia. Según el CEO y cofundador Alfonso Maira, lo que interesó al comprador fue la infraestructura de "rieles de pago" y licencias bancarias que Floid desarrolló en EEUU, mercado en el que operaba desde hace dos años, sin que la venta responda a un mal desempeño. La compañía, rentable hace más de un año con 23 trabajadores, duplicó su facturación y valorización en seis meses impulsada por la migración hacia transferencias y wallets, con Perú aportando ya un tercio de sus ingresos totales.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Estudio liderado por Andrés Velasco del LSE, advierte que Chile está rezagado en la exportación de servicios informáticos en la región</w:t>
      </w:r>
    </w:p>
    <w:p>
      <w:pPr>
        <w:spacing w:before="40" w:after="60"/>
        <w:ind w:left="283"/>
      </w:pPr>
      <w:r>
        <w:rPr>
          <w:rFonts w:ascii="Arial" w:hAnsi="Arial"/>
          <w:color w:val="404040"/>
          <w:sz w:val="21"/>
        </w:rPr>
        <w:t>Un estudio liderado por el economista Andrés Velasco (LSE), encargado por la ACTI, concluyó que Chile está rezagado frente a Argentina, Costa Rica y Uruguay en exportación de servicios informáticos -estancada en 22% del total producido en el país-, pese a liderar en competitividad digital e infraestructura tecnológica. En 2024 Chile exportó US$ 640 millones en servicios informáticos (5,4% de sus exportaciones de servicios) frente a US$ 2.200 millones de Costa Rica y US$ 2.700 millones de Argentina, explicado principalmente por una "baja orientación exportadora" -solo 17,5% del valor agregado se destina a mercados externos, contra 47,2% de Costa Rica- y un régimen tributario desfavorable sin esquemas de zona franca como los de Costa Rica y Uruguay. El reporte recomienda crear un "enviado presidencial para la economía digital", fortalecer la infraestructura estadística y avanzar en incentivos tributarios y una futura Ley de Economía Digital.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AC contra Grau y el uso de una herramienta excepcional</w:t>
      </w:r>
    </w:p>
    <w:p>
      <w:pPr>
        <w:spacing w:before="40" w:after="60"/>
        <w:ind w:left="283"/>
      </w:pPr>
      <w:r>
        <w:rPr>
          <w:rFonts w:ascii="Arial" w:hAnsi="Arial"/>
          <w:color w:val="404040"/>
          <w:sz w:val="21"/>
        </w:rPr>
        <w:t>El editorial analiza la acusación constitucional contra el exministro de Hacienda Nicolás Grau, aprobada en la Cámara de Diputados y que ahora pasa al Senado, advirtiendo que el uso de esta herramienta excepcional para sancionar diferencias metodológicas o de proyección fiscal -como las cuestionadas en el libelo sobre déficit, balance estructural y deuda pública- exige un estándar jurídico particularmente alto. Señala que el informe del Consejo Fiscal Autónomo no halló una inconsistencia aritmética, aunque sí detectó supuestos de ajuste financiero no explicitados, lo que según constitucionalistas y exministros no debería bastar para fundar una destitución. El texto plantea que el bajo umbral actual (solo 10 firmas) para presentar una acusación constitucional facilita su uso como herramienta política antes que institucional, y respalda elevar los requisitos para reforzar su carácter excepcional, llamando al Senado a abordar el debate con altura de miras.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Sobre las concesiones Hospital de Coquimbo y Red O’Higgins</w:t>
      </w:r>
    </w:p>
    <w:p>
      <w:pPr>
        <w:spacing w:before="40" w:after="60"/>
        <w:ind w:left="283"/>
      </w:pPr>
      <w:r>
        <w:rPr>
          <w:rFonts w:ascii="Arial" w:hAnsi="Arial"/>
          <w:color w:val="404040"/>
          <w:sz w:val="21"/>
        </w:rPr>
        <w:t>La gerente general de las sociedades concesionarias del Hospital de Coquimbo y la Red Hospitalaria O'Higgins, Xiaohui Xiong, responde a un reportaje de Diario Financiero sobre estos proyectos de infraestructura concesionada, señalando que las solicitudes de plazo presentadas por las concesionarias están expresamente amparadas en la Ley de Concesiones y los respectivos contratos. Sostiene que dichas materias se gestionan a través de los canales institucionales e independientes que el sistema concesional chileno contempla para el análisis técnico, y que esto forma parte del funcionamiento regular del sistema. La carta afirma que las obras continúan avanzando con los recursos necesarios y reafirma una relación colaborativa con el MOP y las Inspecciones Fiscales, así como el compromiso de entregar infraestructura hospitalaria moderna para ambas regiones.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La industria nacional: el eslabón que convierte la ciencia en salud</w:t>
      </w:r>
    </w:p>
    <w:p>
      <w:pPr>
        <w:spacing w:before="40" w:after="60"/>
        <w:ind w:left="283"/>
      </w:pPr>
      <w:r>
        <w:rPr>
          <w:rFonts w:ascii="Arial" w:hAnsi="Arial"/>
          <w:color w:val="404040"/>
          <w:sz w:val="21"/>
        </w:rPr>
        <w:t>La vicepresidenta ejecutiva de Canalab, Claudia Papic, respalda el diagnóstico del exdirector del ISP, Heriberto García, sobre el vacío regulatorio que hace que Chile pierda valor de su propia investigación científica, y agrega que esa investigación requiere de una industria nacional con capacidad técnica -más de 26 plantas productivas bajo estándares del ISP- para transformarla en productos accesibles para los pacientes. Sin ese eslabón industrial, advierte, la ciencia queda solo publicada en revistas sin llegar a beneficiar a la población. Papic pide al Ministerio de Salud dar respuesta formal a la propuesta técnica del ISP de 2022 y convocar a la industria instalada en el país a participar en su implementación.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pago de Chile</w:t>
      </w:r>
    </w:p>
    <w:p>
      <w:pPr>
        <w:spacing w:before="40" w:after="60"/>
        <w:ind w:left="283"/>
      </w:pPr>
      <w:r>
        <w:rPr>
          <w:rFonts w:ascii="Arial" w:hAnsi="Arial"/>
          <w:color w:val="404040"/>
          <w:sz w:val="21"/>
        </w:rPr>
        <w:t>La carta de opinión del abogado Francisco Neira denuncia que en Chile persisten mecanismos de discriminación salarial hacia personas mayores de 65 años, vigentes incluso en la actual discusión sobre el reajuste del salario mínimo, lo que contravendría la convención interamericana sobre derechos de las personas mayores ratificada por el país. Critica además la recién publicada Ley de Envejecimiento Digno (1 de junio), que permite suspender indefinidamente, por acuerdo entre las partes, el contrato de trabajadores mayores sin remuneración, mecanismo que advierte podría usarse como presión para evitar despidos e indemnizaciones o apartar a trabajadores por razones de salud. El autor llama a corregir esta discriminación estructural ante el desafío del envejecimiento poblacional, abogando por mejores oportunidades laborales y mayor protección de derechos para este grupo.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24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