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15 De Octubre De 2026</w:t>
      </w:r>
    </w:p>
    <w:p>
      <w:pPr>
        <w:jc w:val="center"/>
      </w:pPr>
      <w:r>
        <w:rPr>
          <w:rFonts w:ascii="Arial" w:hAnsi="Arial"/>
          <w:color w:val="999999"/>
          <w:sz w:val="20"/>
        </w:rPr>
        <w:t>6 secciones  ·  30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BofA: Chile y Brasil entusiasman a los gestores de fondos pese a los riesgos del cobre y el alza de tasas</w:t>
      </w:r>
    </w:p>
    <w:p>
      <w:pPr>
        <w:spacing w:before="40" w:after="60"/>
        <w:ind w:left="283"/>
      </w:pPr>
      <w:r>
        <w:rPr>
          <w:rFonts w:ascii="Arial" w:hAnsi="Arial"/>
          <w:color w:val="404040"/>
          <w:sz w:val="21"/>
        </w:rPr>
        <w:t>La encuesta de octubre de Bank of America a gestores latinoamericanos muestra más optimismo por Chile y, sobre todo, por Brasil. El 38% espera que Chile sea el mejor mercado andino en seis meses (33% en septiembre), pero el 44% ve el precio del cobre como el principal riesgo de cola (27% antes), y el sector de minería, químicos y forestales pasó a ser el más subponderado de la región, con 31% de los gestores bajo su índice de referencia. En Brasil, tras la primera vuelta en que Flávio Bolsonaro superó a Lula, el 94% cree que su bolsa liderará la región (67% en septiembre), el Ibovespa subió 7,7% a un récord de 206.912 puntos y las proyecciones de utilidades al alza pasaron de 3% a 34%. A nivel regional, las altas tasas en EE.UU. siguen siendo la mayor amenaza externa, con 59% de las menciones, por su efecto sobre monedas y financiamiento.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abre a la baja por fuertes ventas globales en medio de una caída en la confianza de los inversionistas sobre la IA</w:t>
      </w:r>
    </w:p>
    <w:p>
      <w:pPr>
        <w:spacing w:before="40" w:after="60"/>
        <w:ind w:left="283"/>
      </w:pPr>
      <w:r>
        <w:rPr>
          <w:rFonts w:ascii="Arial" w:hAnsi="Arial"/>
          <w:color w:val="404040"/>
          <w:sz w:val="21"/>
        </w:rPr>
        <w:t>El dólar abrió a la baja en Chile, cayendo $ 2,6 hasta $ 983,2, mientras el índice dólar global retrocedía 0,5% a 102 puntos y la tasa del Tesoro a 10 años bajaba cerca de 13 puntos base a 5,05%. El movimiento responde a un deterioro de la confianza en la inteligencia artificial: los futuros del Nasdaq 100 caían 1,3%, el Nikkei perdía 4,9% y el Kospi 7,6%, en medio de dudas de financiamiento tras el desplome de acciones y bonos de CoreWeave. El cobre bajaba 1,3% a US$ 6,49 la libra, y el mercado esperaba datos de ventas minoristas y precios al productor de septiembre en EE.UU., con inflación mayorista anual de 5,4%.</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Caída del fondo E: Cortez se reúne con las AFP y efecto de tasas provoca pérdidas por US$ 11 mil millones</w:t>
      </w:r>
    </w:p>
    <w:p>
      <w:pPr>
        <w:spacing w:before="40" w:after="60"/>
        <w:ind w:left="283"/>
      </w:pPr>
      <w:r>
        <w:rPr>
          <w:rFonts w:ascii="Arial" w:hAnsi="Arial"/>
          <w:color w:val="404040"/>
          <w:sz w:val="21"/>
        </w:rPr>
        <w:t>El fondo E acumuló entre enero y septiembre una caída real de 10,39%, su segundo peor registro para ese período desde 2002, y el superintendente de Pensiones, Joaquín Cortez, dijo estar encima del tema tras reunirse con las AFP. Los swaps de tasas restaron 5,9 puntos a la rentabilidad nominal (4,5 de swaps extranjeros y 1,4 de locales), equivalentes a unos US$ 11.600 millones de pérdida en el total de fondos, de los cuales US$ 1.400 millones corresponden al fondo E. Además, las AFP vendieron a futuro cerca de 150% de los dólares del fondo, perdiendo el amortiguador del alza del dólar de $ 911 a $ 970, y el regulador les exige reducir el exceso sobre el límite de pérdida esperada hasta cumplirlo el 5 de noviembre. El gerente de Cuprum defendió los derivados como un instrumento más y pidió mirar el largo plazo, mientras 85,9% de las posiciones del fondo están fuera del tramo de edad recomendado.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Administradoras previsionales advierten por licitación de stock</w:t>
      </w:r>
    </w:p>
    <w:p>
      <w:pPr>
        <w:spacing w:before="40" w:after="60"/>
        <w:ind w:left="283"/>
      </w:pPr>
      <w:r>
        <w:rPr>
          <w:rFonts w:ascii="Arial" w:hAnsi="Arial"/>
          <w:color w:val="404040"/>
          <w:sz w:val="21"/>
        </w:rPr>
        <w:t>En el Picton Latam Summit, gerentes de inversión de las AFP Capital y Cuprum advirtieron que la licitación de stock de afiliados y los nuevos multifondos generacionales complican la gestión de activos alternativos. Francisco Guzmán señaló que la licitación va en contra de armar un buen programa de alternativos y obliga a rediseñar portafolios por cohortes. Andrés García valoró la mayor competencia, pero alertó que podría afectar la rentabilidad de los fondos y que el remedio sea peor que la enfermedad, y recordó que aún no hay solución para traspasar activos no transferibles entre administradoras.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Historias de crecimiento y productos médicos: la receta de la boutique Archimed para invertir en salud</w:t>
      </w:r>
    </w:p>
    <w:p>
      <w:pPr>
        <w:spacing w:before="40" w:after="60"/>
        <w:ind w:left="283"/>
      </w:pPr>
      <w:r>
        <w:rPr>
          <w:rFonts w:ascii="Arial" w:hAnsi="Arial"/>
          <w:color w:val="404040"/>
          <w:sz w:val="21"/>
        </w:rPr>
        <w:t>El fundador de la gestora francesa Archimed, Denis Ribon, explicó que 80% de sus inversiones son empresas de productos de salud, un segmento que crece 5% o 6% global con márgenes Ebitda de 25% a 30%, altas barreras regulatorias y flujos de caja elevados. Destacó el envejecimiento poblacional, con Chile como el país que envejece más rápido de la región, y argumentó que los fondos buyout de salud han tenido el mejor desempeño histórico, con múltiplos promedio de 2,5 veces. Frente a un escenario de tasas altas y menor liquidez, indicó que su deuda promedio es 2,1 veces Ebitda y que el apalancamiento explica solo 3% de la creación de valor, y que sus salidas se orientan a compradores estratégicos, menos cíclicos.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Family office de los Piñera Morel pone foco en creación de valor en complejo entorno para alternativos</w:t>
      </w:r>
    </w:p>
    <w:p>
      <w:pPr>
        <w:spacing w:before="40" w:after="60"/>
        <w:ind w:left="283"/>
      </w:pPr>
      <w:r>
        <w:rPr>
          <w:rFonts w:ascii="Arial" w:hAnsi="Arial"/>
          <w:color w:val="404040"/>
          <w:sz w:val="21"/>
        </w:rPr>
        <w:t>La gestora de cartera de Inversiones Odisea, Gabriela Cohen, reconoció que las tasas altas han presionado el financiamiento y las valorizaciones de los mercados privados, que rindieron menos que los públicos y por más tiempo del esperado. Por eso los gestores necesitan más crecimiento del Ebitda y Odisea asigna capital a quienes puedan ejecutar planes de creación de valor. Su programa de alternativos, creado en 2010, pasó de fondos secundarios y de fondos a fondos primarios y coinversiones, buscando diversificación por geografía, tamaño y estrategia, y un mejor conocimiento de los gestores.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Presidente de las AFP ante caída del fondo E: “No son apuestas, son estrategias de inversión a largo plazo”</w:t>
      </w:r>
    </w:p>
    <w:p>
      <w:pPr>
        <w:spacing w:before="40" w:after="60"/>
        <w:ind w:left="283"/>
      </w:pPr>
      <w:r>
        <w:rPr>
          <w:rFonts w:ascii="Arial" w:hAnsi="Arial"/>
          <w:color w:val="404040"/>
          <w:sz w:val="21"/>
        </w:rPr>
        <w:t>El presidente de la Asociación de AFP, León Fernández de Castro, defendió las inversiones del fondo E, que cayó más de 10% entre enero y septiembre, afirmando que son estrategias de largo plazo y no apuestas. Explicó que se usan derivados para alargar plazos en un mercado local con poca oferta de instrumentos largos y que la baja se vincula a las alzas de tasas. Reconoció que puede haber estrategias equivocadas o excesos de riesgo, pero dentro del marco regulatorio, admitió que afecta a quienes se pensionan hoy y no descartó nuevas caídas, pidiendo evaluar con visión de largo plazo.</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La renta inmobiliaria transa UF 10,1 millones entre abril-septiembre de 2026 y se reactivan transacciones de alto monto</w:t>
      </w:r>
    </w:p>
    <w:p>
      <w:pPr>
        <w:spacing w:before="40" w:after="60"/>
        <w:ind w:left="283"/>
      </w:pPr>
      <w:r>
        <w:rPr>
          <w:rFonts w:ascii="Arial" w:hAnsi="Arial"/>
          <w:color w:val="404040"/>
          <w:sz w:val="21"/>
        </w:rPr>
        <w:t>El mercado de renta inmobiliaria transó UF 10,13 millones entre abril y septiembre de 2026, con cap rates de 5,8% a 6,6% sobre UF, impulsado por dos operaciones sobre UF 2,5 millones: la venta de 88 estaciones de servicio Aramco (UF 6,5 millones) y el Mall Paseo Quilín (UF 2,65 millones). Compran sobre todo aseguradoras y fondos que buscan portafolios completos. Las colocaciones de bonos inmobiliarios sumaron UF 8,25 millones, con emisores AA- a tasas de UF+2,9% a 3,6% y spread de 130 pb. La vacancia bajó en cinco de seis clases, con Bodegas Clase I de 5,4% a 4,1%, y las tasas base subieron en el tercer trimestre (BCU 10 a 2,82%, hipotecario a 4,07%).</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¿Llegó por fin un alivio en las cuentas de la luz? CNE publica informe preliminar que prevé baja promedio de 4,3% en las boletas a partir de 2027</w:t>
      </w:r>
    </w:p>
    <w:p>
      <w:pPr>
        <w:spacing w:before="40" w:after="60"/>
        <w:ind w:left="283"/>
      </w:pPr>
      <w:r>
        <w:rPr>
          <w:rFonts w:ascii="Arial" w:hAnsi="Arial"/>
          <w:color w:val="404040"/>
          <w:sz w:val="21"/>
        </w:rPr>
        <w:t>La CNE publicó el informe preliminar del precio nudo promedio para el primer semestre de 2027, que prevé una baja promedio de 4,3% en las cuentas de la luz desde enero en 13 de las 16 regiones; la versión definitiva saldrá en noviembre. La rebaja se explica por un tipo de cambio fijado mayor al efectivo, que dejó un saldo a favor, y por el fin de contratos de generación de 2008 y 2010, reemplazados por licitaciones más baratas. Habrá alzas en Los Ríos (6,2%), Los Lagos (4,9%) por retrasos en la línea de transmisión Cautín-Ciruelos, y Magallanes (2,4%) por indexación a combustibles e inflación.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JetSmart cambia de rumbo: Argentina creció un 42% y desplazó a Chile como su principal mercado</w:t>
      </w:r>
    </w:p>
    <w:p>
      <w:pPr>
        <w:spacing w:before="40" w:after="60"/>
        <w:ind w:left="283"/>
      </w:pPr>
      <w:r>
        <w:rPr>
          <w:rFonts w:ascii="Arial" w:hAnsi="Arial"/>
          <w:color w:val="404040"/>
          <w:sz w:val="21"/>
        </w:rPr>
        <w:t>En 2025 Argentina pasó a ser el principal mercado de JetSmart, con 38% de sus ingresos de US$ 1.008 millones, por sobre Chile con 29,2%. Los ingresos en Argentina crecieron 42% a US$ 383 millones y en Colombia 133%, mientras Chile avanzó apenas 2,3% a US$ 294 millones. La flota argentina pasó de 11 a 19 aviones y llegaría a 23 en enero de 2027 con una inversión de US$ 550 millones, apoyada en la apertura de cielos y el bajo uso del avión per cápita. El CEO Estuardo Ortiz afirmó que Chile sigue siendo estratégico, con la casa matriz y toda la flota registrada aquí, y proyecta crecer 11% en capacidad doméstica y 62% en internacional en 2027.</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Minera del grupo Luksic aumenta 7% su producción en el tercer trimestre y remarca que "negociaciones continúan" en Centinela</w:t>
      </w:r>
    </w:p>
    <w:p>
      <w:pPr>
        <w:spacing w:before="40" w:after="60"/>
        <w:ind w:left="283"/>
      </w:pPr>
      <w:r>
        <w:rPr>
          <w:rFonts w:ascii="Arial" w:hAnsi="Arial"/>
          <w:color w:val="404040"/>
          <w:sz w:val="21"/>
        </w:rPr>
        <w:t>Antofagasta Minerals produjo 151.900 toneladas de cobre en el tercer trimestre, 7% más que el trimestre previo, aunque la producción acumulada de 436.900 toneladas es 8,3% menor que en 2025 por menor ley en Centinela. Mantiene la guía 2026 de 625.000 a 655.000 toneladas y proyecta 630.000 a 690.000 para 2027, con costos netos en efectivo de US$ 1,38 la libra en el trimestre y US$ 1,28 en nueve meses. En Centinela, dos sindicatos que representan cerca de 20% de la plantilla están en huelga legal desde el 7 de octubre y las negociaciones continúan, mientras los proyectos de crecimiento avanzan hacia su término en 2027.</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Arnstein Aassve, profesor de demografía de la Universidad Bocconi, Italia: “Las políticas pronatalidad que incentivan a la gente a tener más hijos mediante ayudas económicas no suelen ser muy eficaces”</w:t>
      </w:r>
    </w:p>
    <w:p>
      <w:pPr>
        <w:spacing w:before="40" w:after="60"/>
        <w:ind w:left="283"/>
      </w:pPr>
      <w:r>
        <w:rPr>
          <w:rFonts w:ascii="Arial" w:hAnsi="Arial"/>
          <w:color w:val="404040"/>
          <w:sz w:val="21"/>
        </w:rPr>
        <w:t>El demógrafo Arnstein Aassve sostiene que Chile va un par de décadas detrás de Europa en envejecimiento, con consecuencias para pensiones, política y cohesión generacional. Atribuye la baja natalidad a la dificultad de los jóvenes para entrar al mercado laboral y acceder a vivienda asequible, y advierte que los incentivos económicos directos rara vez revierten la tendencia. Plantea que Chile aún aprovecha una gran población de 30 a 40 años productiva y debe prepararse para su retiro, y que las empresas deben colaborar con guarderías, créditos y trabajo flexible, junto con jubilación flexible como en Noruega y jornadas más cortas que den tiempo para la familia.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Participación de grandes supermercados en Chile cae a la mitad en 10 años</w:t>
      </w:r>
    </w:p>
    <w:p>
      <w:pPr>
        <w:spacing w:before="40" w:after="60"/>
        <w:ind w:left="283"/>
      </w:pPr>
      <w:r>
        <w:rPr>
          <w:rFonts w:ascii="Arial" w:hAnsi="Arial"/>
          <w:color w:val="404040"/>
          <w:sz w:val="21"/>
        </w:rPr>
        <w:t>Según un informe del USDA, las grandes salas de supermercados pasaron de 48% de participación en 2015 a que los hipermercados tengan hoy 24,3%, desplazadas por tiendas de descuento, de conveniencia y comercio electrónico. El retail chileno facturó cerca de US$ 68.500 millones en 2025, con alimentos en US$ 31 mil millones (+4,2%), y los consumidores priorizaron ahorro y marcas propias. Bodega a Cuenta lidera el descuento con 89% (98% en 2020), Super10 de SMU subió a 7% y Mass a 4%, mientras las tiendas de conveniencia crecieron 9% con Copec liderando con 52,5% y el canal online 10,5%. Se esperan más presiones con PriceSmart en 2027, y los 174 mil almacenes de barrio facturaron cerca de US$ 5.300 millones, creciendo 4%.</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Sube tensión en minera del grupo Luksic y Escondida llega a acuerdo con sindicato tras pactar millonario bono</w:t>
      </w:r>
    </w:p>
    <w:p>
      <w:pPr>
        <w:spacing w:before="40" w:after="60"/>
        <w:ind w:left="283"/>
      </w:pPr>
      <w:r>
        <w:rPr>
          <w:rFonts w:ascii="Arial" w:hAnsi="Arial"/>
          <w:color w:val="404040"/>
          <w:sz w:val="21"/>
        </w:rPr>
        <w:t>Escondida cerró su negociación con el sindicato N° 2 de supervisores y staff, aprobada por 64,14% de sus 1.020 miembros, con un contrato de 36 meses que incluye un bono de cierre de $ 30 millones (con préstamo de $ 3 millones), bono de vacaciones de $ 1,5 millones, alzas de bonos de movilización, almuerzo y turno nocturno, reajuste por IPC y mejoras en pagos variables. Mientras, la huelga legal en Centinela cumple una semana y el sector minero suma siete fatalidades en menos de un mes, la última en la mina Aguilucho en Taltal. El gobierno convocó una mesa de seguridad minera para el viernes 16, y el biministro Daniel Mas llamó a revisar las condiciones de las faenas.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Suspensión por un año del IVA a la vivienda aumenta el monto de exenciones y beneficios tributarios que reducirán la recaudación del Estado en 2027</w:t>
      </w:r>
    </w:p>
    <w:p>
      <w:pPr>
        <w:spacing w:before="40" w:after="60"/>
        <w:ind w:left="283"/>
      </w:pPr>
      <w:r>
        <w:rPr>
          <w:rFonts w:ascii="Arial" w:hAnsi="Arial"/>
          <w:color w:val="404040"/>
          <w:sz w:val="21"/>
        </w:rPr>
        <w:t>El gasto tributario proyectado para 2027 es de US$ 10.629 millones, equivalente a 2,45% del PIB, más de US$ 800 millones sobre los US$ 9.751 millones de 2026 (2,39%), según el SII. El impuesto a la renta concentra 1,37% del PIB y el IVA 1,07%; por objetivo lidera ahorro e inversión con 31,7%, seguido de micro y pequeña empresa (16,9%) e inmobiliario (16,3%). Entre las partidas individuales destacan el régimen Propyme para impuestos finales (US$ 806 millones) y la exención de IVA a la venta de viviendas por un año, parte de la Ley de Reconstrucción, con US$ 735 millones.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Bloomberg: Giro a la derecha abre una nueva etapa entre Chile y Bolivia</w:t>
      </w:r>
    </w:p>
    <w:p>
      <w:pPr>
        <w:spacing w:before="40" w:after="60"/>
        <w:ind w:left="283"/>
      </w:pPr>
      <w:r>
        <w:rPr>
          <w:rFonts w:ascii="Arial" w:hAnsi="Arial"/>
          <w:color w:val="404040"/>
          <w:sz w:val="21"/>
        </w:rPr>
        <w:t>El presidente José Antonio Kast visitará a su par boliviano Rodrigo Paz en La Paz el viernes, en la primera visita de Estado de un mandatario chileno en más de siete décadas, tras la ruptura de relaciones en 1978. Se espera discutir corredores logísticos, comercio de energía y seguridad fronteriza, con la ministra Ximena Rincón firmando un acuerdo de integración energética, ya que Bolivia enfrenta caída de producción de gas y problemas de combustibles. Persisten fricciones por el caso de la madera boliviana con drogas y el contrabando de vehículos, y Bolivia, golpeada económicamente, tiene más que ganar con el reinicio de relaciones.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Niño le añade un sesgo a la baja al alicaído PIB del año y podría presionar a la inflación</w:t>
      </w:r>
    </w:p>
    <w:p>
      <w:pPr>
        <w:spacing w:before="40" w:after="60"/>
        <w:ind w:left="283"/>
      </w:pPr>
      <w:r>
        <w:rPr>
          <w:rFonts w:ascii="Arial" w:hAnsi="Arial"/>
          <w:color w:val="404040"/>
          <w:sz w:val="21"/>
        </w:rPr>
        <w:t>Las lluvias y granizos asociados a El Niño suman riesgos a la actividad de octubre y al PIB 2026, que el consenso ve creciendo apenas 0,2%; Itaú proyecta 0,3% con sesgo bajista y la UDP entre 0% y 0,5%. Los economistas ven impacto en servicios (clases perdidas), comercio, alimentos y minería, además de riesgos al Imacec de octubre. En inflación, Itaú prevé 0,4% mensual en octubre con riesgo al alza por alimentos como lechugas, papas y zapallo, más alzas de combustibles y un tipo de cambio en máximos del año. En agricultura, el granizo en el período de cuaja amenaza cosechas de cerezas y avellanos entre la Región Metropolitana y el Maule, con riesgo de lluvia hasta mediados de noviembre.</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Sofofa refuerza acercamiento con la UE y propone que Chile actúe como puente con el CPTPP</w:t>
      </w:r>
    </w:p>
    <w:p>
      <w:pPr>
        <w:spacing w:before="40" w:after="60"/>
        <w:ind w:left="283"/>
      </w:pPr>
      <w:r>
        <w:rPr>
          <w:rFonts w:ascii="Arial" w:hAnsi="Arial"/>
          <w:color w:val="404040"/>
          <w:sz w:val="21"/>
        </w:rPr>
        <w:t>La presidenta de la Sofofa, Rosario Navarro, se reunió con embajadores de la Unión Europea y presentó la estrategia de nuevo impulso exportador, priorizando la implementación del Acuerdo Marco Avanzado y la creación de su consejo consultivo con la sociedad civil. Propuso que Chile, con acuerdos con la UE y el CPTPP, sirva de puente entre ambos bloques. Los embajadores de la UE, Francia, España y Alemania destacaron el interés en intensificar relaciones e inversiones en energía, infraestructura, agricultura y servicios.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Sebastián Figueroa, subsecretario de Desarrollo Regional (Subdere):“Si los recursos fueran ilimitados todo sería más fácil, pero queremos lograr el equilibrio fiscal”</w:t>
      </w:r>
    </w:p>
    <w:p>
      <w:pPr>
        <w:spacing w:before="40" w:after="60"/>
        <w:ind w:left="283"/>
      </w:pPr>
      <w:r>
        <w:rPr>
          <w:rFonts w:ascii="Arial" w:hAnsi="Arial"/>
          <w:color w:val="404040"/>
          <w:sz w:val="21"/>
        </w:rPr>
        <w:t>El subsecretario Sebastián Figueroa defendió la reducción de 7% al presupuesto de los gobiernos regionales en 2027 como parte del mandato de equilibrio fiscal, argumentando que ejecutan solo 18% a 20% de sus recursos. Anunció flexibilizaciones: apertura más temprana del presupuesto desde enero, fin del recorte del 3% de emergencia y ampliación del uso para emergencias de 2% a 4%. La Subdere duplicará su cartera de inversión local a cerca de $ 180 mil millones este año, con 8 mil a 12 mil empleos estimados. Además, tras el fallo del Tribunal Constitucional, la compensación a municipios por la exención de contribuciones a mayores de 65 años será íntegra y sin condiciones.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Contraloría pone la lupa sobre el reavalúo de propiedades y afina auditoría para el primer semestre de 2027</w:t>
      </w:r>
    </w:p>
    <w:p>
      <w:pPr>
        <w:spacing w:before="40" w:after="60"/>
        <w:ind w:left="283"/>
      </w:pPr>
      <w:r>
        <w:rPr>
          <w:rFonts w:ascii="Arial" w:hAnsi="Arial"/>
          <w:color w:val="404040"/>
          <w:sz w:val="21"/>
        </w:rPr>
        <w:t>La Contraloría postergó para el primer semestre de 2027 su auditoría al reavalúo de propiedades habitacionales, porque el proceso del SII fue postergado y comenzará a regir el 1 de enero de 2027. El SII trabaja en mejoras metodológicas para dar más transparencia y reflejar los cambios del mercado inmobiliario, y eliminará varios coeficientes: localización comunal, factor de altura de terrenos (trasladado a construcciones desde siete pisos), coeficiente guía y coeficiente comercial de Santiago centro. En 2022 catastró 7,49 millones de roles de 4,3 millones de propietarios en 345 comunas.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DF Tax | IVA cero a la vivienda: pan para hoy, hambre para mañana</w:t>
      </w:r>
    </w:p>
    <w:p>
      <w:pPr>
        <w:spacing w:before="40" w:after="60"/>
        <w:ind w:left="283"/>
      </w:pPr>
      <w:r>
        <w:rPr>
          <w:rFonts w:ascii="Arial" w:hAnsi="Arial"/>
          <w:color w:val="404040"/>
          <w:sz w:val="21"/>
        </w:rPr>
        <w:t>Los autores critican la exención de IVA por un año a la primera venta de viviendas terminadas, pensada para enfrentar 100 mil viviendas nuevas sin comprador y un déficit de 500 mil unidades. Argumentan que ya congeló ventas tras el anuncio, con caídas de hasta 40% en algunas empresas, que la baja de precios sería menor al titular de 19% (Hacienda habla de hasta 14%) por la pérdida de crédito fiscal en sociedades de un solo RUT, y que al ser opcional podría dosificarse. Estiman un efecto transitorio con costo fiscal de 0,12% del PIB el primer año y 0,17% el segundo, y piden medir cuántas ventas son realmente adicionales.</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DF Tax | Rebaja tributaria a las donaciones: la importancia de hacer las cosas bien</w:t>
      </w:r>
    </w:p>
    <w:p>
      <w:pPr>
        <w:spacing w:before="40" w:after="60"/>
        <w:ind w:left="283"/>
      </w:pPr>
      <w:r>
        <w:rPr>
          <w:rFonts w:ascii="Arial" w:hAnsi="Arial"/>
          <w:color w:val="404040"/>
          <w:sz w:val="21"/>
        </w:rPr>
        <w:t>Los autores analizan la rebaja de 50% del impuesto a ciertas donaciones durante un año desde la vigencia de la Ley de Reconstrucción, una medida inédita que libera del trámite de insinuación y atrae a planes de sucesión; podría incluso recaudar más que lo proyectado por Hacienda. Advierten que tiene requisitos y límites sobre donatarios, patrimonio y declaraciones, que varios detalles dependen de una resolución del SII y que este tiene amplias facultades para fiscalizar abusos o simulaciones. Recomiendan evaluar si la donación es parte de un plan coherente de sucesión y no actuar con apuro.</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Brasil aprueba ley para reducir la jornada laboral y da un impulso electoral a Lula</w:t>
      </w:r>
    </w:p>
    <w:p>
      <w:pPr>
        <w:spacing w:before="40" w:after="60"/>
        <w:ind w:left="283"/>
      </w:pPr>
      <w:r>
        <w:rPr>
          <w:rFonts w:ascii="Arial" w:hAnsi="Arial"/>
          <w:color w:val="404040"/>
          <w:sz w:val="21"/>
        </w:rPr>
        <w:t>El Senado brasileño aprobó por 75 votos a 1 el fin del régimen laboral 6x1, que afecta a unos 16 millones de trabajadores, dándoles un día extra de descanso sin reducir salarios. La medida es el eje de la campaña de Lula, que quedó detrás de Flávio Bolsonaro en la primera vuelta y enfrenta la segunda el 25 de octubre; una encuesta Quaest ubica a Bolsonaro con 51% frente a 49%. Bolsonaro cambió de postura y votó a favor, mientras los gremios empresariales se oponen por mayores costos. Lula también presentó alivio de deuda para microemprendedores, aunque le ha costado convertir el respaldo a sus políticas en votos.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Zelenski desafía a Trump con la reanudación de ataques ucranianos contra refinerías rusas</w:t>
      </w:r>
    </w:p>
    <w:p>
      <w:pPr>
        <w:spacing w:before="40" w:after="60"/>
        <w:ind w:left="283"/>
      </w:pPr>
      <w:r>
        <w:rPr>
          <w:rFonts w:ascii="Arial" w:hAnsi="Arial"/>
          <w:color w:val="404040"/>
          <w:sz w:val="21"/>
        </w:rPr>
        <w:t>Zelenski anunció que Ucrania reanudará los ataques a refinerías rusas, tras suspenderlos tres días a pedido de Washington, que busca bajar los precios del combustible y negocia comprar diésel ruso; ya hubo un ataque a una refinería de Rosneft en Ryazan. Acusó a EE.UU. de retirar la inteligencia sobre misiles y degradar Starlink, aunque el servicio se restableció, y condicionó frenar los ataques a recibir más interceptores Patriot. Advirtió que nuevos acuerdos EE.UU.-Rusia, probablemente de gas, financiarían la guerra de Putin, y viajará a Bruselas para pedir más sanciones y fondos de la UE.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Escasez de diésel se extendería hasta 2027 y la AIE advierte elevados costos económicos</w:t>
      </w:r>
    </w:p>
    <w:p>
      <w:pPr>
        <w:spacing w:before="40" w:after="60"/>
        <w:ind w:left="283"/>
      </w:pPr>
      <w:r>
        <w:rPr>
          <w:rFonts w:ascii="Arial" w:hAnsi="Arial"/>
          <w:color w:val="404040"/>
          <w:sz w:val="21"/>
        </w:rPr>
        <w:t>La AIE advirtió que la escasez de diésel podría extenderse hasta bien entrado 2027, con exportaciones de septiembre 700 mil barriles diarios menores que un año antes y precios mayoristas récord cercanos a US$ 220 por barril. Proyecta que la oferta mundial de petróleo caerá 5,8 millones de barriles diarios en 2026 a 100,7 millones y se recuperará 7,7 millones en 2027, con inventarios de crudo 509 millones de barriles bajo los niveles prebélicos. Su director pidió evaluar nuevas liberaciones de reservas y su consejo se reúne este jueves. El Brent cerró en US$ 106,06 y el WTI en US$ 95,09, con un ataque hutí a la sede de Saudi Aramco en Dhahran.</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Corfo pone término al financiamiento a fondos de capital de riesgo para empresas indígenas por falta de postulaciones</w:t>
      </w:r>
    </w:p>
    <w:p>
      <w:pPr>
        <w:spacing w:before="40" w:after="60"/>
        <w:ind w:left="283"/>
      </w:pPr>
      <w:r>
        <w:rPr>
          <w:rFonts w:ascii="Arial" w:hAnsi="Arial"/>
          <w:color w:val="404040"/>
          <w:sz w:val="21"/>
        </w:rPr>
        <w:t>El comité de capital de riesgo de Corfo aprobó por unanimidad terminar el programa de financiamiento a fondos para empresas indígenas, creado en 2020, que nunca recibió postulaciones. Se ofrecían líneas de crédito de US$ 4 a 12 millones, pero el diseño no calzaba con la lógica del capital de riesgo por el plazo del crédito, las condiciones de venta de acciones y la dificultad de obtener retornos por dividendos. Corfo señaló que sus programas vigentes ya permiten crear fondos que inviertan en empresas con socios indígenas, y que desde 2023 dejó de crear programas focalizados.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Fuerza laboral y rediseño de procesos: las brechas que frenan la adopción de IA en las empresas chilenas</w:t>
      </w:r>
    </w:p>
    <w:p>
      <w:pPr>
        <w:spacing w:before="40" w:after="60"/>
        <w:ind w:left="283"/>
      </w:pPr>
      <w:r>
        <w:rPr>
          <w:rFonts w:ascii="Arial" w:hAnsi="Arial"/>
          <w:color w:val="404040"/>
          <w:sz w:val="21"/>
        </w:rPr>
        <w:t>Rodrigo Durán (Cenia) y Julián Herman (BCG) explicaron que Chile lidera Latinoamérica en conectividad, datos y talento, pero queda bajo Brasil, México y Colombia en uso empresarial de IA. Según BCG, solo 10% de la implementación es modelos y 20% infraestructura, y 70% son personas; las empresas chilenas están en los niveles de herramientas individuales y rediseño de procesos, y corren el riesgo de que el cuello de botella solo se traslade. Destacaron casos como Bci y Arauco y el programa Hazlo con IA con más de 120 mil pymes, y Durán pidió claridad regulatoria sobre minería de datos y una ley de IA cercana a Japón o Singapur.</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Una infraestructura que sostenga la actividad económica</w:t>
      </w:r>
    </w:p>
    <w:p>
      <w:pPr>
        <w:spacing w:before="40" w:after="60"/>
        <w:ind w:left="283"/>
      </w:pPr>
      <w:r>
        <w:rPr>
          <w:rFonts w:ascii="Arial" w:hAnsi="Arial"/>
          <w:color w:val="404040"/>
          <w:sz w:val="21"/>
        </w:rPr>
        <w:t>La columna sostiene que los eventos climáticos de este año mostraron que la fragilidad de la infraestructura compromete la continuidad económica: daños de US$ 400 a 500 millones en Coquimbo y Huasco, y cerca de US$ 200 millones en pérdidas por el cierre de Los Libertadores. Con necesidades de infraestructura sobre US$ 250 mil millones para 2026-2035 y estrechez fiscal, propone evaluar las inversiones considerando las pérdidas evitadas; el Banco Central estima caídas iniciales de 1,5% del PIB regional tras desastres, y el Banco Mundial calcula US$ 4 de beneficio por cada dólar en resiliencia.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Soberanía de la infraestructura digital</w:t>
      </w:r>
    </w:p>
    <w:p>
      <w:pPr>
        <w:spacing w:before="40" w:after="60"/>
        <w:ind w:left="283"/>
      </w:pPr>
      <w:r>
        <w:rPr>
          <w:rFonts w:ascii="Arial" w:hAnsi="Arial"/>
          <w:color w:val="404040"/>
          <w:sz w:val="21"/>
        </w:rPr>
        <w:t>La columna plantea que albergar centros de datos, como en la aspiración de Punta Arenas de ser hub digital, no transfiere por sí mismo capacidades tecnológicas ni garantiza buenos empleos. Propone exigir condiciones a estas inversiones para evitar una inserción periférica y extractivista, y que el Estado participe en la propiedad o gobernanza de la infraestructura que financie o subsidie, incluido el cable antártico. La soberanía digital implica capacidad de decidir y usar el derecho para dejar capacidades tecnológicas en el país.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Uso de IA en el sistema judicial</w:t>
      </w:r>
    </w:p>
    <w:p>
      <w:pPr>
        <w:spacing w:before="40" w:after="60"/>
        <w:ind w:left="283"/>
      </w:pPr>
      <w:r>
        <w:rPr>
          <w:rFonts w:ascii="Arial" w:hAnsi="Arial"/>
          <w:color w:val="404040"/>
          <w:sz w:val="21"/>
        </w:rPr>
        <w:t>La columna del director de la Asociación de Legaltech señala que el episodio de un prompt en una resolución judicial muestra la falta de criterios y mecanismos de verificación, y que impugnaciones, incluso en un juicio de 122 jornadas, podrían tener enormes costos. Defiende que la IA puede agilizar procesos y mejorar el acceso a la justicia con responsabilidad humana, y pide que la política de la Corte Suprema combine garantías con incentivos a la innovación y se construya con participación amplia, pues regular mal también tiene costos altos.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15 de octubre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