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960"/>
        <w:jc w:val="left"/>
      </w:pPr>
    </w:p>
    <w:p>
      <w:pPr>
        <w:spacing w:after="120"/>
        <w:jc w:val="center"/>
      </w:pPr>
      <w:r>
        <w:rPr>
          <w:rFonts w:ascii="Arial" w:hAnsi="Arial"/>
          <w:b/>
          <w:color w:val="1F4E79"/>
          <w:sz w:val="60"/>
        </w:rPr>
        <w:t>DIARIO FINANCIERO</w:t>
      </w:r>
    </w:p>
    <w:p>
      <w:pPr>
        <w:spacing w:after="80"/>
        <w:jc w:val="center"/>
      </w:pPr>
      <w:r>
        <w:rPr>
          <w:rFonts w:ascii="Arial" w:hAnsi="Arial"/>
          <w:b w:val="0"/>
          <w:color w:val="404040"/>
          <w:sz w:val="32"/>
        </w:rPr>
        <w:t>Resumen Ejecutivo del Día</w:t>
      </w:r>
    </w:p>
    <w:p>
      <w:pPr>
        <w:spacing w:after="200"/>
        <w:jc w:val="center"/>
      </w:pPr>
      <w:r>
        <w:rPr>
          <w:rFonts w:ascii="Arial" w:hAnsi="Arial"/>
          <w:color w:val="2E75B6"/>
          <w:sz w:val="26"/>
        </w:rPr>
        <w:t>28 De Julio De 2026</w:t>
      </w:r>
    </w:p>
    <w:p>
      <w:pPr>
        <w:jc w:val="center"/>
      </w:pPr>
      <w:r>
        <w:rPr>
          <w:rFonts w:ascii="Arial" w:hAnsi="Arial"/>
          <w:color w:val="999999"/>
          <w:sz w:val="20"/>
        </w:rPr>
        <w:t>6 secciones  ·  19 artículos</w:t>
      </w:r>
    </w:p>
    <w:p>
      <w:pPr>
        <w:spacing w:before="0" w:after="0"/>
      </w:pPr>
      <w:r>
        <w:br w:type="page"/>
      </w:r>
    </w:p>
    <w:p>
      <w:pPr>
        <w:spacing w:before="0" w:after="240"/>
      </w:pPr>
      <w:r>
        <w:rPr>
          <w:rFonts w:ascii="Arial" w:hAnsi="Arial"/>
          <w:b/>
          <w:color w:val="1F4E79"/>
          <w:sz w:val="28"/>
        </w:rPr>
        <w:t>ÍNDICE</w:t>
      </w:r>
    </w:p>
    <w:p>
      <w:pPr>
        <w:spacing w:before="0" w:after="0"/>
      </w:pPr>
      <w:r>
        <w:fldChar w:fldCharType="begin"/>
        <w:instrText xml:space="preserve"> TOC \o "1-2" \h \z \u </w:instrText>
        <w:fldChar w:fldCharType="separate"/>
      </w:r>
      <w:r>
        <w:rPr>
          <w:rFonts w:ascii="Arial" w:hAnsi="Arial"/>
          <w:i/>
          <w:color w:val="999999"/>
          <w:sz w:val="20"/>
        </w:rPr>
        <w:t>[ Presiona Ctrl+A y luego F9 para actualizar el índice ]</w:t>
      </w:r>
      <w:r>
        <w:fldChar w:fldCharType="end"/>
      </w:r>
    </w:p>
    <w:p>
      <w:pPr>
        <w:spacing w:before="0" w:after="0"/>
      </w:pPr>
      <w:r>
        <w:br w:type="page"/>
      </w:r>
    </w:p>
    <w:p>
      <w:pPr>
        <w:pStyle w:val="Heading1"/>
        <w:shd w:val="clear" w:color="auto" w:fill="1F4E79"/>
        <w:spacing w:before="320" w:after="160"/>
        <w:ind w:left="227"/>
      </w:pPr>
      <w:r>
        <w:rPr>
          <w:rFonts w:ascii="Arial" w:hAnsi="Arial"/>
          <w:b/>
          <w:color w:val="FFFFFF"/>
          <w:sz w:val="26"/>
        </w:rPr>
        <w:t>MERCADOS</w:t>
      </w:r>
    </w:p>
    <w:p>
      <w:pPr>
        <w:pStyle w:val="Heading2"/>
        <w:spacing w:before="200" w:after="80"/>
      </w:pPr>
      <w:r>
        <w:rPr>
          <w:rFonts w:ascii="Arial" w:hAnsi="Arial"/>
          <w:b/>
          <w:color w:val="2E75B6"/>
          <w:sz w:val="22"/>
        </w:rPr>
        <w:t xml:space="preserve">1.  </w:t>
      </w:r>
      <w:r>
        <w:rPr>
          <w:rFonts w:ascii="Arial" w:hAnsi="Arial"/>
          <w:b/>
          <w:color w:val="1F4E79"/>
          <w:sz w:val="22"/>
        </w:rPr>
        <w:t>IPSA abre en rojo y pierde los 10.900 puntos mientras bolsas globales enfrentan presiones de venta en semana clave</w:t>
      </w:r>
    </w:p>
    <w:p>
      <w:pPr>
        <w:spacing w:before="40" w:after="60"/>
        <w:ind w:left="283"/>
      </w:pPr>
      <w:r>
        <w:rPr>
          <w:rFonts w:ascii="Arial" w:hAnsi="Arial"/>
          <w:color w:val="404040"/>
          <w:sz w:val="21"/>
        </w:rPr>
        <w:t>El S&amp;P IPSA cayó 0,6% a 10.897 puntos este martes, presionado por SQM-B (-2,6%), Latam (-0,9%) y Santander (-0,8%), en una jornada marcada por ventas generalizadas en sectores ligados a la inteligencia artificial a nivel global. En Asia, el Kospi coreano se hundió 10,8% y el Nikkei japonés perdió 4%, mientras el Nasdaq cedía 0,6% en Wall Street; el Dow Jones subía 0,6% gracias a los positivos resultados de Coca-Cola. El petróleo Brent bajaba 2% a US$ 86,6 por barril en medio de una pausa en las tensiones entre EE.UU. e Irán, y los mercados aguardan la decisión de tasa de la Fed el miércoles —con un tercio de probabilidad de alza de 25 puntos base— además de los resultados de Meta, Microsoft, Amazon y Apple, mientras el Banco Central chileno anunciará su propia decisión al cierre del mercado sin esperarse cambios.</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Dólar abre plano tras fuerte caída del lunes, atento a Medio Oriente y decisiones de bancos centrales</w:t>
      </w:r>
    </w:p>
    <w:p>
      <w:pPr>
        <w:spacing w:before="40" w:after="60"/>
        <w:ind w:left="283"/>
      </w:pPr>
      <w:r>
        <w:rPr>
          <w:rFonts w:ascii="Arial" w:hAnsi="Arial"/>
          <w:color w:val="404040"/>
          <w:sz w:val="21"/>
        </w:rPr>
        <w:t>El dólar abrió estable en torno a $ 941,4 este martes, sin variaciones relevantes tras la caída de $ 7,8 registrada el lunes desde sus máximos de nueve meses. El cobre en Londres retrocedía 0,9% a US$ 6,18 por libra, arrastrado por la ola de ventas de acciones tecnológicas, y el petróleo Brent caía 1,5% a US$ 87 el barril mientras continúa en pausa la batalla por el estrecho de Ormuz. El Banco Central chileno publicará su decisión de política monetaria a las 18:00 horas, con el mercado esperando una mantención de la tasa, en línea con la recomendación del Grupo de Política Monetaria; el mismo día, los operadores de futuros descuentan alrededor de un tercio de probabilidad de que la Fed anuncie un alza de 25 puntos base al día siguiente.</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Fondo de capital privado Australis Partners pone a la venta el laboratorio clínico chileno Galénica, uno de los líderes en toma de muestras biológicas in vitro</w:t>
      </w:r>
    </w:p>
    <w:p>
      <w:pPr>
        <w:spacing w:before="40" w:after="60"/>
        <w:ind w:left="283"/>
      </w:pPr>
      <w:r>
        <w:rPr>
          <w:rFonts w:ascii="Arial" w:hAnsi="Arial"/>
          <w:color w:val="404040"/>
          <w:sz w:val="21"/>
        </w:rPr>
        <w:t>El fondo Australis Partners, gestionado por los exCitigroup Enrique Bascur y Cristián Celis, puso a la venta su participación del 98,48% en Galénica, laboratorio clínico chileno fundado en 1985 y líder en diagnóstico in vitro, mandatando a BTG Pactual para conducir el proceso bautizado internamente como 'Project Glass'. Australis ingresó en diciembre de 2020 y desde entonces la compañía duplicó sus ingresos —registrando ventas de $ 33,6 mil millones y un Ebitda de $ 8,6 mil millones en 2025— y se expandió al mercado peruano. Las ofertas no vinculantes se esperan para agosto y las vinculantes para diciembre, con interesados estratégicos del sector salud y otros fondos de capital privado; Galénica tiene un rol crítico en el sistema público chileno, cubriendo el 70% de las bolsas de sangre y apoyando el 80% del Plan Nacional de VIH.</w:t>
      </w:r>
    </w:p>
    <w:p>
      <w:pPr>
        <w:pBdr>
          <w:bottom w:val="single" w:sz="4" w:space="1" w:color="BDD7EE"/>
        </w:pBdr>
        <w:spacing w:before="80" w:after="80"/>
      </w:pPr>
    </w:p>
    <w:p>
      <w:pPr>
        <w:pStyle w:val="Heading2"/>
        <w:spacing w:before="200" w:after="80"/>
      </w:pPr>
      <w:r>
        <w:rPr>
          <w:rFonts w:ascii="Arial" w:hAnsi="Arial"/>
          <w:b/>
          <w:color w:val="2E75B6"/>
          <w:sz w:val="22"/>
        </w:rPr>
        <w:t xml:space="preserve">4.  </w:t>
      </w:r>
      <w:r>
        <w:rPr>
          <w:rFonts w:ascii="Arial" w:hAnsi="Arial"/>
          <w:b/>
          <w:color w:val="1F4E79"/>
          <w:sz w:val="22"/>
        </w:rPr>
        <w:t>Desde el S&amp;P 500 hasta obispos católicos de EEUU: el diverso mundo de los ETF temáticos</w:t>
      </w:r>
    </w:p>
    <w:p>
      <w:pPr>
        <w:spacing w:before="40" w:after="60"/>
        <w:ind w:left="283"/>
      </w:pPr>
      <w:r>
        <w:rPr>
          <w:rFonts w:ascii="Arial" w:hAnsi="Arial"/>
          <w:color w:val="404040"/>
          <w:sz w:val="21"/>
        </w:rPr>
        <w:t>Los ETF siguen ganando terreno entre los inversionistas por su menor costo y la creciente diversidad temática de su oferta, que hoy abarca desde índices de bonos del Tesoro y terrenos agrícolas hasta instrumentos alineados con los principios morales de los obispos católicos de EE.UU. y fondos que invierten en empresas dirigidas por sus fundadores. En los últimos 12 meses el ETF de semiconductores SMH lideró los retornos con 96,5%, seguido por el MSOS (cannabis) con 49,1%, aunque los expertos advierten sobre la alta volatilidad de los instrumentos temáticos en ciclos bajistas. El S&amp;P 500 presenta una concentración creciente en tecnología, que ya representa cerca del 32% del índice y donde las 'Siete Magníficas' explican alrededor del 34% del referencial, comparado con el 21% que tenía tecnología en 2016.</w:t>
      </w:r>
    </w:p>
    <w:p>
      <w:pPr>
        <w:spacing w:before="0" w:after="80"/>
        <w:jc w:val="left"/>
      </w:pPr>
    </w:p>
    <w:p>
      <w:pPr>
        <w:pStyle w:val="Heading1"/>
        <w:shd w:val="clear" w:color="auto" w:fill="1F4E79"/>
        <w:spacing w:before="320" w:after="160"/>
        <w:ind w:left="227"/>
      </w:pPr>
      <w:r>
        <w:rPr>
          <w:rFonts w:ascii="Arial" w:hAnsi="Arial"/>
          <w:b/>
          <w:color w:val="FFFFFF"/>
          <w:sz w:val="26"/>
        </w:rPr>
        <w:t>EMPRESAS</w:t>
      </w:r>
    </w:p>
    <w:p>
      <w:pPr>
        <w:pStyle w:val="Heading2"/>
        <w:spacing w:before="200" w:after="80"/>
      </w:pPr>
      <w:r>
        <w:rPr>
          <w:rFonts w:ascii="Arial" w:hAnsi="Arial"/>
          <w:b/>
          <w:color w:val="2E75B6"/>
          <w:sz w:val="22"/>
        </w:rPr>
        <w:t xml:space="preserve">1.  </w:t>
      </w:r>
      <w:r>
        <w:rPr>
          <w:rFonts w:ascii="Arial" w:hAnsi="Arial"/>
          <w:b/>
          <w:color w:val="1F4E79"/>
          <w:sz w:val="22"/>
        </w:rPr>
        <w:t>Hasta enero: Costanera Norte cerrará por seis meses las pistas laterales del puente Lo Saldes por obras de reemplazo</w:t>
      </w:r>
    </w:p>
    <w:p>
      <w:pPr>
        <w:spacing w:before="40" w:after="60"/>
        <w:ind w:left="283"/>
      </w:pPr>
      <w:r>
        <w:rPr>
          <w:rFonts w:ascii="Arial" w:hAnsi="Arial"/>
          <w:color w:val="404040"/>
          <w:sz w:val="21"/>
        </w:rPr>
        <w:t>Costanera Norte inició el 27 de julio de 2026 el cierre de las pistas exteriores del puente Lo Saldes en ambos sentidos, como parte de la primera etapa del reemplazo definitivo de la superestructura del viaducto, incluyendo la renovación del tablero exterior y sus vigas. Las obras se extenderán hasta enero de 2027, periodo en que el tráfico será desviado a las pistas centrales con una pista por sentido habilitada para vehículos livianos y transporte público, manteniéndose la restricción para camiones. El puente Lo Saldes es un enlace estratégico entre Costanera Norte y el sector oriente de Santiago, por lo que la concesionaria advirtió sobre posibles impactos en los tiempos de viaje, especialmente en horas punta.</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Latam Airlines revela la cabina de los nuevos Embraer con los que busca reforzar la operación doméstica en Brasil</w:t>
      </w:r>
    </w:p>
    <w:p>
      <w:pPr>
        <w:spacing w:before="40" w:after="60"/>
        <w:ind w:left="283"/>
      </w:pPr>
      <w:r>
        <w:rPr>
          <w:rFonts w:ascii="Arial" w:hAnsi="Arial"/>
          <w:color w:val="404040"/>
          <w:sz w:val="21"/>
        </w:rPr>
        <w:t>Latam Airlines presentó la configuración interior de los nuevos Embraer E195-E2 que comenzarán a operar en Brasil durante el último trimestre de 2026, parte de un pedido de 24 unidades orientado a fortalecer la conectividad en rutas domésticas de menor densidad que los Airbus A320. Las aeronaves tendrán capacidad para 136 pasajeros en configuración de dos clases —con hasta 20 asientos Premium Economy según la configuración— y contarán con conectividad satelital, wifi gratuito para socios Latam Pass, puertos USB-C y acceso a la plataforma Latam Play con más de 300 películas y 1.000 episodios de series. La iniciativa forma parte de la estrategia de modernización de flota del grupo, que también prevé incorporar en 2027 los Airbus A321XLR con cabinas Premium Business de asientos totalmente reclinables, convirtiéndose en la primera aerolínea de Sudamérica en ofrecer este servicio en aviones de pasillo único.</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Habla la abogada que siguió in situ el juicio contra la tecnológica en EEUU: “Google tiene en sus manos el destino de los editores y del negocio del periodismo”</w:t>
      </w:r>
    </w:p>
    <w:p>
      <w:pPr>
        <w:spacing w:before="40" w:after="60"/>
        <w:ind w:left="283"/>
      </w:pPr>
      <w:r>
        <w:rPr>
          <w:rFonts w:ascii="Arial" w:hAnsi="Arial"/>
          <w:color w:val="404040"/>
          <w:sz w:val="21"/>
        </w:rPr>
        <w:t>Arielle García, de Check My Ads, asistió a distintas instancias del juicio en que el Departamento de Justicia de EEUU demandó a la multinacional por abuso de posición dominante en el mercado de la publicidad digital. Hoy, ocho medios chilenos buscan el mismo camino. Arielle García, chief operating officer de la organización Check My Adds. Como un efecto dominó podría ilustrarse la seguidilla de demandas que distintos medios de comunicación chilenos vienen ingresando en contra de Alpahet, la casa matriz de Google, ante el Tribunal de Defensa de la Libre Competencia, acusándola de abuso de posición dominante en los mercados de motores de búsqueda y de publicidad digital, más conocido como adtech.</w:t>
      </w:r>
    </w:p>
    <w:p>
      <w:pPr>
        <w:spacing w:before="0" w:after="80"/>
        <w:jc w:val="left"/>
      </w:pPr>
    </w:p>
    <w:p>
      <w:pPr>
        <w:pStyle w:val="Heading1"/>
        <w:shd w:val="clear" w:color="auto" w:fill="1F4E79"/>
        <w:spacing w:before="320" w:after="160"/>
        <w:ind w:left="227"/>
      </w:pPr>
      <w:r>
        <w:rPr>
          <w:rFonts w:ascii="Arial" w:hAnsi="Arial"/>
          <w:b/>
          <w:color w:val="FFFFFF"/>
          <w:sz w:val="26"/>
        </w:rPr>
        <w:t>ECONOMÍA</w:t>
      </w:r>
    </w:p>
    <w:p>
      <w:pPr>
        <w:pStyle w:val="Heading2"/>
        <w:spacing w:before="200" w:after="80"/>
      </w:pPr>
      <w:r>
        <w:rPr>
          <w:rFonts w:ascii="Arial" w:hAnsi="Arial"/>
          <w:b/>
          <w:color w:val="2E75B6"/>
          <w:sz w:val="22"/>
        </w:rPr>
        <w:t xml:space="preserve">1.  </w:t>
      </w:r>
      <w:r>
        <w:rPr>
          <w:rFonts w:ascii="Arial" w:hAnsi="Arial"/>
          <w:b/>
          <w:color w:val="1F4E79"/>
          <w:sz w:val="22"/>
        </w:rPr>
        <w:t>Juzgado sobresee a Sergio Jadue tras casi una década de investigación y despeja su eventual regreso a Chile</w:t>
      </w:r>
    </w:p>
    <w:p>
      <w:pPr>
        <w:spacing w:before="40" w:after="60"/>
        <w:ind w:left="283"/>
      </w:pPr>
      <w:r>
        <w:rPr>
          <w:rFonts w:ascii="Arial" w:hAnsi="Arial"/>
          <w:color w:val="404040"/>
          <w:sz w:val="21"/>
        </w:rPr>
        <w:t>El 13° Juzgado de Garantía de Santiago sobreseyó este martes a Sergio Jadue en la causa por apropiación indebida, delitos tributarios y lavado de activos vinculada al caso FIFA Gate, eliminando todas las medidas cautelares que pesaban sobre el exdirigente luego de casi diez años de investigación. La decisión se adoptó tras la solicitud de la defensa de Jadue y el levantamiento de cargos pedido por el Ministerio Público, con la jueza considerando que existe prescripción de la acción penal al no compartir el cómputo de fechas planteado por la Fiscalía y el SII. El fallo despeja el camino para el eventual regreso a Chile de Jadue, quien abandonó el país en 2015 para radicarse en EE.UU., donde se convirtió en colaborador de la justicia en la trama internacional de sobornos ligada a los derechos comerciales del fútbol.</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Arthur Laffer, economista creador de la Curva de Laffer: “Chile podría recortar tasas impositivas por todas partes y aumentar enormemente sus ingresos”</w:t>
      </w:r>
    </w:p>
    <w:p>
      <w:pPr>
        <w:spacing w:before="40" w:after="60"/>
        <w:ind w:left="283"/>
      </w:pPr>
      <w:r>
        <w:rPr>
          <w:rFonts w:ascii="Arial" w:hAnsi="Arial"/>
          <w:color w:val="404040"/>
          <w:sz w:val="21"/>
        </w:rPr>
        <w:t>El exasesor de Ronald Reagan sostiene que es necesario aplicar la tasa impositiva más baja posible sobre la base imponible más amplia posible, para que una reducción de impuestos genere una mayor recaudación. A sus 85 años,Arthur Laffer sorprende por su jovialidad y su ocurrencia. Lanzando bromas desde el primer momento, que incluye imitar el estilo del exPresidente de los Estados Unidos, Joe Biden –tan solo tres años más joven-, dice que no tiene ningún secreto.“Hay distintos tipos de vejez”, añade a solo horas de haber aterrizado la mañana de este lunes en Santiago. Su sentido del humor se extiende hasta cuando habla de Donald Trump, a quien considera como “uno de los seres humanos más excepcionales”. “Me parece divertido. Me tomo a Trump muy en serio, pero no de manera literal. Puede que algún día simplemente me destroce a críticas, me insulte y todo eso. ¿Cuál será mi respuesta? Ese es Donald Trump”, señala.</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Sofofa se vuelca a los liceos para entusiasmar a mujeres con la minería, construcción y manufactura</w:t>
      </w:r>
    </w:p>
    <w:p>
      <w:pPr>
        <w:spacing w:before="40" w:after="60"/>
        <w:ind w:left="283"/>
      </w:pPr>
      <w:r>
        <w:rPr>
          <w:rFonts w:ascii="Arial" w:hAnsi="Arial"/>
          <w:color w:val="404040"/>
          <w:sz w:val="21"/>
        </w:rPr>
        <w:t>La Sofofa lanzó una nueva versión del programa +Mujeres +Futuro, que este año acompañará a más de 1.200 alumnas de siete liceos técnico-profesionales de las regiones Metropolitana, O'Higgins y Biobío mediante mentorías, visitas a empresas y prácticas laborales a lo largo de los cuatro años de enseñanza media, con la participación de 22 grandes compañías. La iniciativa busca revertir la escasa presencia femenina en sectores estratégicos: las mujeres representan apenas el 8,6% de la fuerza laboral en construcción, el 12% en minería y el 15% en transporte, en un contexto donde la participación laboral femenina total alcanza el 53,4%, frente al 71,5% de los hombres. La presidenta de Sofofa, Rosario Navarro, subrayó que el déficit proyectado de 600.000 técnicos en sectores industriales hace de la incorporación femenina no solo una medida de equidad sino un imperativo de competitividad, y que la principal barrera sigue siendo cultural y de expectativas tempranas.</w:t>
      </w:r>
    </w:p>
    <w:p>
      <w:pPr>
        <w:pBdr>
          <w:bottom w:val="single" w:sz="4" w:space="1" w:color="BDD7EE"/>
        </w:pBdr>
        <w:spacing w:before="80" w:after="80"/>
      </w:pPr>
    </w:p>
    <w:p>
      <w:pPr>
        <w:pStyle w:val="Heading2"/>
        <w:spacing w:before="200" w:after="80"/>
      </w:pPr>
      <w:r>
        <w:rPr>
          <w:rFonts w:ascii="Arial" w:hAnsi="Arial"/>
          <w:b/>
          <w:color w:val="2E75B6"/>
          <w:sz w:val="22"/>
        </w:rPr>
        <w:t xml:space="preserve">4.  </w:t>
      </w:r>
      <w:r>
        <w:rPr>
          <w:rFonts w:ascii="Arial" w:hAnsi="Arial"/>
          <w:b/>
          <w:color w:val="1F4E79"/>
          <w:sz w:val="22"/>
        </w:rPr>
        <w:t>¿Tenía razón Quiroz? El comercio entrega las primeras señales de un repunte de la economía en junio</w:t>
      </w:r>
    </w:p>
    <w:p>
      <w:pPr>
        <w:spacing w:before="40" w:after="60"/>
        <w:ind w:left="283"/>
      </w:pPr>
      <w:r>
        <w:rPr>
          <w:rFonts w:ascii="Arial" w:hAnsi="Arial"/>
          <w:color w:val="404040"/>
          <w:sz w:val="21"/>
        </w:rPr>
        <w:t>Análisis de Santander basado en índices sectoriales del Banco Central sugiere que el Imacec de junio habría crecido en torno al 2,5% anual, poniendo fin a cinco meses consecutivos de debilidad económica, tal como anticipó el ministro de Hacienda Jorge Quiroz. El Indicador de Compraventas por Actividad Económica (CVAE) avanzó 9,6% interanual en junio —frente al 4,9% de mayo—, con el comercio creciendo 12,3%, servicios empresariales 11,5% y manufactura 9,8%, aunque Santander advirtió que las cifras son nominales y pueden incluir un efecto de precios. No obstante, el banco revisó a la baja su proyección de crecimiento para 2026, acercándola al 1% desde el 1,5% previo, debido a la debilidad del primer semestre, el impacto del temporal y el nuevo incremento de los precios internacionales de los combustibles.</w:t>
      </w:r>
    </w:p>
    <w:p>
      <w:pPr>
        <w:spacing w:before="0" w:after="80"/>
        <w:jc w:val="left"/>
      </w:pPr>
    </w:p>
    <w:p>
      <w:pPr>
        <w:pStyle w:val="Heading1"/>
        <w:shd w:val="clear" w:color="auto" w:fill="1F4E79"/>
        <w:spacing w:before="320" w:after="160"/>
        <w:ind w:left="227"/>
      </w:pPr>
      <w:r>
        <w:rPr>
          <w:rFonts w:ascii="Arial" w:hAnsi="Arial"/>
          <w:b/>
          <w:color w:val="FFFFFF"/>
          <w:sz w:val="26"/>
        </w:rPr>
        <w:t>INTERNACIONAL</w:t>
      </w:r>
    </w:p>
    <w:p>
      <w:pPr>
        <w:pStyle w:val="Heading2"/>
        <w:spacing w:before="200" w:after="80"/>
      </w:pPr>
      <w:r>
        <w:rPr>
          <w:rFonts w:ascii="Arial" w:hAnsi="Arial"/>
          <w:b/>
          <w:color w:val="2E75B6"/>
          <w:sz w:val="22"/>
        </w:rPr>
        <w:t xml:space="preserve">1.  </w:t>
      </w:r>
      <w:r>
        <w:rPr>
          <w:rFonts w:ascii="Arial" w:hAnsi="Arial"/>
          <w:b/>
          <w:color w:val="1F4E79"/>
          <w:sz w:val="22"/>
        </w:rPr>
        <w:t>La FIFA explora abrirse a inversionistas externos a través de un vehículo de US$ 20.000 millones para aprovechar el impulso comercial del Mundial</w:t>
      </w:r>
    </w:p>
    <w:p>
      <w:pPr>
        <w:spacing w:before="40" w:after="60"/>
        <w:ind w:left="283"/>
      </w:pPr>
      <w:r>
        <w:rPr>
          <w:rFonts w:ascii="Arial" w:hAnsi="Arial"/>
          <w:color w:val="404040"/>
          <w:sz w:val="21"/>
        </w:rPr>
        <w:t>La FIFA trabaja con JPMorgan Chase en la creación de un vehículo de inversión que agruparía sus derechos comerciales y de medios —incluyendo activos de retransmisión y patrocinio—, con una valoración inicial estimada en US$ 20.000 millones, lo que representaría la primera apertura del organismo a inversionistas externos en su historia. Mediante este instrumento, la FIFA buscaría captar hasta US$ 4.200 millones de inversores privados, entre los que figura Thrive Capital de Joshua Kushner, aprovechando el impulso comercial generado por la Copa del Mundo. La operación implica un cambio significativo respecto al modelo de financiamiento tradicional del organismo y los detalles se mantienen confidenciales según las fuentes que revelaron la información.</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Trump dice que hay "buenas" conversaciones con Irán sin retirar amenaza de atacar objetivos, mientras el petróleo sigue en baja</w:t>
      </w:r>
    </w:p>
    <w:p>
      <w:pPr>
        <w:spacing w:before="40" w:after="60"/>
        <w:ind w:left="283"/>
      </w:pPr>
      <w:r>
        <w:rPr>
          <w:rFonts w:ascii="Arial" w:hAnsi="Arial"/>
          <w:color w:val="404040"/>
          <w:sz w:val="21"/>
        </w:rPr>
        <w:t>El presidente Donald Trump afirmó que se mantienen conversaciones positivas con Irán, aunque reiteró la amenaza de destruir la instalación nuclear subterránea conocida como montaña Pickaxe, así como puentes y centrales eléctricas iraníes si no se llega a un acuerdo. El petróleo Brent caía 1,9% a US$ 86,68 por barril y el WTI cedía 1,55% a US$ 81,33, reflejando la distensión temporal en el conflicto por el estrecho de Ormuz, donde negociadores de Irán y Omán discuten los términos de una potencial reapertura. Trump también se reuniría con el primer ministro israelí Netanyahu en la Casa Blanca para abordar la situación en Pickaxe, instalación vinculada al programa nuclear iraní.</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Atención bancos centrales: el auge de la IA desdibuja señales económicas y eleva el riesgo de cometer errores en la política monetaria</w:t>
      </w:r>
    </w:p>
    <w:p>
      <w:pPr>
        <w:spacing w:before="40" w:after="60"/>
        <w:ind w:left="283"/>
      </w:pPr>
      <w:r>
        <w:rPr>
          <w:rFonts w:ascii="Arial" w:hAnsi="Arial"/>
          <w:color w:val="404040"/>
          <w:sz w:val="21"/>
        </w:rPr>
        <w:t>Economistas del Banco de Pagos Internacionales (BIS) advirtieron que el auge de la inteligencia artificial está dificultando la lectura de señales económicas que los bancos centrales utilizan para fijar sus tasas, ya que el gasto en centros de datos en EE.UU. ya representa el 0,8% del PIB y el efecto riqueza derivado del alza bursátil impulsa el consumo, generando presiones inflacionarias de corto plazo. El BIS señaló que los efectos inflacionarios de corto plazo 'ya podrían estar comenzando a manifestarse', mientras que los potenciales efectos desinflacionarios de largo plazo vía ganancias de productividad son 'inciertos y difíciles de medir', incrementando el riesgo de una 'calibración incorrecta' de la política monetaria. La advertencia coincide con el inicio de la reunión de dos días de la Fed, cuyo presidente Kevin Warsh enfrenta presión creciente para demostrar compromiso con la estabilidad de precios ante una inflación PCE que supera más del doble la meta institucional.</w:t>
      </w:r>
    </w:p>
    <w:p>
      <w:pPr>
        <w:pBdr>
          <w:bottom w:val="single" w:sz="4" w:space="1" w:color="BDD7EE"/>
        </w:pBdr>
        <w:spacing w:before="80" w:after="80"/>
      </w:pPr>
    </w:p>
    <w:p>
      <w:pPr>
        <w:pStyle w:val="Heading2"/>
        <w:spacing w:before="200" w:after="80"/>
      </w:pPr>
      <w:r>
        <w:rPr>
          <w:rFonts w:ascii="Arial" w:hAnsi="Arial"/>
          <w:b/>
          <w:color w:val="2E75B6"/>
          <w:sz w:val="22"/>
        </w:rPr>
        <w:t xml:space="preserve">4.  </w:t>
      </w:r>
      <w:r>
        <w:rPr>
          <w:rFonts w:ascii="Arial" w:hAnsi="Arial"/>
          <w:b/>
          <w:color w:val="1F4E79"/>
          <w:sz w:val="22"/>
        </w:rPr>
        <w:t>Un terremoto de magnitud 7,1 en el sur de Japón provoca daños en edificios y cortes de electricidad: SHOA descarta tsunami</w:t>
      </w:r>
    </w:p>
    <w:p>
      <w:pPr>
        <w:spacing w:before="40" w:after="60"/>
        <w:ind w:left="283"/>
      </w:pPr>
      <w:r>
        <w:rPr>
          <w:rFonts w:ascii="Arial" w:hAnsi="Arial"/>
          <w:color w:val="404040"/>
          <w:sz w:val="21"/>
        </w:rPr>
        <w:t>Un sismo de magnitud 7,1 sacudió la prefectura de Kumamoto en el sur de Japón, dejando sin electricidad a unas 40.000 viviendas, causando el colapso de edificios, grandes grietas en autopistas y la suspensión de servicios ferroviarios incluidos los de alta velocidad; el aeropuerto de Kumamoto cerró su pista y más de 150.000 personas recibieron órdenes de evacuación. TSMC y Sony evacuaron preventivamente a trabajadores de sus plantas en la zona, y la JMA emitió una alerta de tsunami de 1 metro que luego retiró, mientras advirtió sobre el riesgo de réplicas y deslizamientos de tierra durante al menos una semana. El SHOA chileno descartó que el terremoto pudiera generar un tsunami con efectos en las costas de Chile; no se reportaron anomalías en las centrales nucleares de la zona.</w:t>
      </w:r>
    </w:p>
    <w:p>
      <w:pPr>
        <w:spacing w:before="0" w:after="80"/>
        <w:jc w:val="left"/>
      </w:pPr>
    </w:p>
    <w:p>
      <w:pPr>
        <w:pStyle w:val="Heading1"/>
        <w:shd w:val="clear" w:color="auto" w:fill="1F4E79"/>
        <w:spacing w:before="320" w:after="160"/>
        <w:ind w:left="227"/>
      </w:pPr>
      <w:r>
        <w:rPr>
          <w:rFonts w:ascii="Arial" w:hAnsi="Arial"/>
          <w:b/>
          <w:color w:val="FFFFFF"/>
          <w:sz w:val="26"/>
        </w:rPr>
        <w:t>INNOVACIÓN</w:t>
      </w:r>
    </w:p>
    <w:p>
      <w:pPr>
        <w:pStyle w:val="Heading2"/>
        <w:spacing w:before="200" w:after="80"/>
      </w:pPr>
      <w:r>
        <w:rPr>
          <w:rFonts w:ascii="Arial" w:hAnsi="Arial"/>
          <w:b/>
          <w:color w:val="2E75B6"/>
          <w:sz w:val="22"/>
        </w:rPr>
        <w:t xml:space="preserve">1.  </w:t>
      </w:r>
      <w:r>
        <w:rPr>
          <w:rFonts w:ascii="Arial" w:hAnsi="Arial"/>
          <w:b/>
          <w:color w:val="1F4E79"/>
          <w:sz w:val="22"/>
        </w:rPr>
        <w:t>Proyecto de ley para proteger la identidad digital de las personas despierta consenso, pero enfrenta retos</w:t>
      </w:r>
    </w:p>
    <w:p>
      <w:pPr>
        <w:spacing w:before="40" w:after="60"/>
        <w:ind w:left="283"/>
      </w:pPr>
      <w:r>
        <w:rPr>
          <w:rFonts w:ascii="Arial" w:hAnsi="Arial"/>
          <w:color w:val="404040"/>
          <w:sz w:val="21"/>
        </w:rPr>
        <w:t>La Cámara de Diputados aprobó por 128 votos a favor el proyecto de ley que regula los deepfakes, estableciendo protecciones contra contenidos generados o alterados con IA que simulen la imagen, cuerpo o voz de personas, con sanciones civiles y multas de entre UTM 5.000 ($ 358 millones) y UTM 10.000 ($ 716 millones) aplicables por la futura Agencia de Protección de Datos Personales. La propuesta impone obligaciones a las plataformas de redes sociales, como designar un representante legal con domicilio en Chile e implementar canales de denuncia y etiquetas para contenido generado con IA, y excluye la sátira, parodia y expresión artística claramente identificable. Expertos valoran la iniciativa pero advierten sobre aspectos perfectibles: la falta de diferenciación de gravedad en las infracciones, la ambigüedad sobre las facultades fiscalizadoras de la Agencia, y los altos costos que podría implicar para plataformas sin presencia local designar representantes legales en Chile.</w:t>
      </w:r>
    </w:p>
    <w:p>
      <w:pPr>
        <w:spacing w:before="0" w:after="80"/>
        <w:jc w:val="left"/>
      </w:pPr>
    </w:p>
    <w:p>
      <w:pPr>
        <w:pStyle w:val="Heading1"/>
        <w:shd w:val="clear" w:color="auto" w:fill="1F4E79"/>
        <w:spacing w:before="320" w:after="160"/>
        <w:ind w:left="227"/>
      </w:pPr>
      <w:r>
        <w:rPr>
          <w:rFonts w:ascii="Arial" w:hAnsi="Arial"/>
          <w:b/>
          <w:color w:val="FFFFFF"/>
          <w:sz w:val="26"/>
        </w:rPr>
        <w:t>OPINIÓN</w:t>
      </w:r>
    </w:p>
    <w:p>
      <w:pPr>
        <w:pStyle w:val="Heading2"/>
        <w:spacing w:before="200" w:after="80"/>
      </w:pPr>
      <w:r>
        <w:rPr>
          <w:rFonts w:ascii="Arial" w:hAnsi="Arial"/>
          <w:b/>
          <w:color w:val="2E75B6"/>
          <w:sz w:val="22"/>
        </w:rPr>
        <w:t xml:space="preserve">1.  </w:t>
      </w:r>
      <w:r>
        <w:rPr>
          <w:rFonts w:ascii="Arial" w:hAnsi="Arial"/>
          <w:b/>
          <w:color w:val="1F4E79"/>
          <w:sz w:val="22"/>
        </w:rPr>
        <w:t>Editorial |28/07/2026</w:t>
      </w:r>
    </w:p>
    <w:p>
      <w:pPr>
        <w:spacing w:after="80"/>
      </w:pPr>
      <w:r>
        <w:rPr>
          <w:rFonts w:ascii="Arial" w:hAnsi="Arial"/>
          <w:i/>
          <w:color w:val="999999"/>
          <w:sz w:val="20"/>
        </w:rPr>
        <w:t>(Sin detalle disponible.)</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JUSTICIA LABORAL</w:t>
      </w:r>
    </w:p>
    <w:p>
      <w:pPr>
        <w:spacing w:before="40" w:after="60"/>
        <w:ind w:left="283"/>
      </w:pPr>
      <w:r>
        <w:rPr>
          <w:rFonts w:ascii="Arial" w:hAnsi="Arial"/>
          <w:color w:val="404040"/>
          <w:sz w:val="21"/>
        </w:rPr>
        <w:t>Los ingresos de causas a juzgados laborales prácticamente se triplicaron en cinco años, pasando de 35.450 en 2021 a 112.083 en 2025, con las demandas por despido injustificado liderando el alza con un crecimiento de 262% hasta 64.287 causas, según análisis de Libertad y Desarrollo. El fenómeno se explica por cambios normativos recientes —finiquito electrónico, reducción a 40 horas, Ley Karin, reforma previsional— que ampliaron las obligaciones de los empleadores, y por un sistema que incentiva la judicialización al acogerse más del 80% de las demandas por necesidades de la empresa que llegan a sentencia, mientras el 57% se resuelve por acuerdo antes de eso. La editorial propone fortalecer mecanismos de mediación y conciliación previos al juicio y establecer protocolos internos en empresas, argumentando que la judicialización masiva paradójicamente desincentiva la contratación en un mercado con desempleo sobre 9% e informalidad sobre 27%, generando una paradoja donde el sistema diseñado para proteger a los trabajadores termina reduciendo el empleo formal.</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Desigualdad territorial: la otra cara de los ingresos en Chile</w:t>
      </w:r>
    </w:p>
    <w:p>
      <w:pPr>
        <w:spacing w:before="40" w:after="60"/>
        <w:ind w:left="283"/>
      </w:pPr>
      <w:r>
        <w:rPr>
          <w:rFonts w:ascii="Arial" w:hAnsi="Arial"/>
          <w:color w:val="404040"/>
          <w:sz w:val="21"/>
        </w:rPr>
        <w:t>La Encuesta Suplementaria de Ingresos del INE 2025 confirma que la mitad de los trabajadores chilenos gana $ 680.000 o menos, con brechas regionales que pueden llegar a duplicar este umbral entre las zonas más desarrolladas y las rezagadas del sur y áreas rurales. En los territorios menos desarrollados la informalidad alcanza entre 30% y 40%, donde el salario mínimo opera más como techo que como piso dado que los mercados laborales locales son poco dinámicos y predomina el empleo estacional de baja productividad. El artículo concluye que Chile enfrenta dos realidades laborales distintas y que superar esta brecha estructural requiere políticas de desarrollo productivo territorial que impulsen inversión, diversificación económica y empleos de mayor calidad, ya que sin ello el crecimiento seguirá siendo geográficamente desigual.</w:t>
      </w:r>
    </w:p>
    <w:p>
      <w:pPr>
        <w:spacing w:before="0" w:after="80"/>
        <w:jc w:val="left"/>
      </w:pPr>
    </w:p>
    <w:sectPr w:rsidR="00FC693F" w:rsidRPr="0006063C" w:rsidSect="00034616">
      <w:headerReference w:type="default" r:id="rId9"/>
      <w:footerReference w:type="default" r:id="rId10"/>
      <w:pgSz w:w="12240" w:h="15840"/>
      <w:pgMar w:top="1247"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999999"/>
        <w:sz w:val="18"/>
      </w:rPr>
      <w:t xml:space="preserve">Página </w:t>
      <w:fldChar w:fldCharType="begin"/>
    </w:r>
    <w:r>
      <w:instrText>PAGE</w:instrText>
    </w:r>
    <w:r>
      <w:fldChar w:fldCharType="end"/>
    </w:r>
    <w:r>
      <w:rPr>
        <w:rFonts w:ascii="Arial" w:hAnsi="Arial"/>
        <w:color w:val="999999"/>
        <w:sz w:val="18"/>
      </w:rPr>
      <w:t xml:space="preserve"> de </w:t>
      <w:fldChar w:fldCharType="begin"/>
    </w:r>
    <w:r>
      <w:instrText>NUMPAGES</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b/>
        <w:color w:val="1F4E79"/>
        <w:sz w:val="18"/>
      </w:rPr>
      <w:t>Resumen Diario Financiero  ·  28 de julio de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