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19 De Mayo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Viñas chilenas siguen sin recuperar terreno, pero el mercado mira la resiliencia de Concha y Toro</w:t>
      </w:r>
    </w:p>
    <w:p>
      <w:pPr>
        <w:spacing w:before="40" w:after="60"/>
        <w:ind w:left="283"/>
      </w:pPr>
      <w:r>
        <w:rPr>
          <w:rFonts w:ascii="Arial" w:hAnsi="Arial"/>
          <w:color w:val="404040"/>
          <w:sz w:val="21"/>
        </w:rPr>
        <w:t>La industria vitivinícola chilena cerró 2025 con resultados negativos: el resultado final agregado de las tres principales viñas cotizadas (Concha y Toro, Santa Rita y San Pedro Tarapacá) cayó 21,1% a $79.685 millones, mientras la deuda financiera se mantuvo en $663.386 millones. El deterioro responde a una tendencia estructural de baja en el consumo mundial de vino —especialmente entre jóvenes que prefieren bebidas de menor graduación— agravada por aranceles de EEUU, impuestos en Reino Unido y un tipo de cambio desfavorable para exportadores. Concha y Toro se distingue por su mayor resiliencia gracias a su estrategia de premiumización y diversificación geográfica: Chile representa solo el 16,4% de sus ventas, con Europa concentrando el 41,5%, y sus ventas alcanzaron US$975 mil millones frente a US$276 y US$157 mil millones de San Pedro y Santa Rita, respectivamente. Los analistas advierten que para que vuelva el apetito inversor por el sector serán necesarias señales claras de inflexión en volúmenes o márgenes, y que las valorizaciones de Concha y Toro no presentan descuentos atractivos respecto a comparables internacionales.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IEF del Banco Central asegura que hogares enfrentan el actual ciclo “en una posición financiera algo más favorable”</w:t>
      </w:r>
    </w:p>
    <w:p>
      <w:pPr>
        <w:spacing w:before="40" w:after="60"/>
        <w:ind w:left="283"/>
      </w:pPr>
      <w:r>
        <w:rPr>
          <w:rFonts w:ascii="Arial" w:hAnsi="Arial"/>
          <w:color w:val="404040"/>
          <w:sz w:val="21"/>
        </w:rPr>
        <w:t>El instituto emisor sostuvo que las vulnerabilidades de las familias se mantienen acotadas, con estabilización del endeudamiento y de la carga financiera, mientras los ejercicios de tensión muestran impactos “moderados” incluso bajo escenarios extremos. “Los hogares enfrentan este ciclo en una posición financiera algo más favorable que la observada en el IEF previo”. Con esa frase, el Banco Central resumió el diagnóstico sobre la situación financiera de las familias en su últimoInforme de Estabilidad Financiera(IEF), publicado durante la mañana de este martes, donde destacó una mejora gradual en varios indicadores clave.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Informe del BC y el crédito privado: "Poca transparencia del sector dificulta la evaluación del nivel de riesgo"</w:t>
      </w:r>
    </w:p>
    <w:p>
      <w:pPr>
        <w:spacing w:before="40" w:after="60"/>
        <w:ind w:left="283"/>
      </w:pPr>
      <w:r>
        <w:rPr>
          <w:rFonts w:ascii="Arial" w:hAnsi="Arial"/>
          <w:color w:val="404040"/>
          <w:sz w:val="21"/>
        </w:rPr>
        <w:t>El IEF del Banco Central del primer semestre de 2026 dedicó un análisis especial al mercado de crédito privado internacional, cuya expansión —particularmente en EEUU— fue impulsada por la búsqueda de mayor rentabilidad de inversionistas institucionales en un entorno de bajas tasas post-crisis financiera global. El Banco Central advirtió que la escasa transparencia del sector, que utiliza clasificaciones de riesgo privadas y valorización de inversiones a través de modelos propios, dificulta evaluar el nivel de riesgo sistémico y la exposición de la banca, en un contexto donde han aumentado las solicitudes de rescates desde vehículos de crédito privado en economías desarrolladas. En Chile, los fondos de crédito privado administran activos por US$7.036 millones, y solo el 7,5% de ellos mantiene algún pasivo financiero con una razón promedio de pasivos sobre activos de 0,2 veces, lo que sugiere exposición aún limitada de la banca local. El organismo llamó a cerrar brechas de información y monitorear la calidad de las carteras subyacentes y la capacidad de los gestores para responder a posibles rescates futuros.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Bolsa chilena abre en rojo y el IPSA pierde los 10.400 puntos en medio del persistente bloqueo del estrecho de Ormuz</w:t>
      </w:r>
    </w:p>
    <w:p>
      <w:pPr>
        <w:spacing w:before="40" w:after="60"/>
        <w:ind w:left="283"/>
      </w:pPr>
      <w:r>
        <w:rPr>
          <w:rFonts w:ascii="Arial" w:hAnsi="Arial"/>
          <w:color w:val="404040"/>
          <w:sz w:val="21"/>
        </w:rPr>
        <w:t>La Bolsa de Santiago abrió a la baja este martes con el S&amp;P IPSA cayendo 0,7% a 10.394,88 puntos, presionado principalmente por Bci (-2,3%), Falabella (-1,7%), SQM-B (-1,1%) y Latam (-1%), en un contexto de estancamiento de las negociaciones para reabrir el estrecho de Ormuz y el consiguiente encarecimiento de la energía. En Wall Street, el Dow Jones caía 0,8% y el S&amp;P 500 y Nasdaq perdían 0,5%, con las tasas del Tesoro a 10 y 30 años alcanzando máximos desde principios de 2025 y desde 2007, respectivamente, lo que presiona las valoraciones de acciones de crecimiento tecnológico. El Banco Central de Chile elevó su Requerimiento de Capital Contracíclico a la banca, aludiendo a los mayores riesgos globales, con un plazo de 24 meses para que los bancos se adecúen. El petróleo Brent oscilaba en torno a US$110 el barril tras que Trump suspendiera un ataque previsto contra Irán, señalando que se llevan a cabo negociaciones serias.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Informe de Estabilidad Financiera del Banco Central advierte sobre riesgo de “estrechamiento abrupto de las condiciones de financiamiento”</w:t>
      </w:r>
    </w:p>
    <w:p>
      <w:pPr>
        <w:spacing w:before="40" w:after="60"/>
        <w:ind w:left="283"/>
      </w:pPr>
      <w:r>
        <w:rPr>
          <w:rFonts w:ascii="Arial" w:hAnsi="Arial"/>
          <w:color w:val="404040"/>
          <w:sz w:val="21"/>
        </w:rPr>
        <w:t>El IEF del primer semestre dio cuenta sobre la preocupación del ente rector sobre una intensificación del conflicto en Medio Oriente y sus efectos sobre la inflación y el crecimiento mundial. La escalada del conflicto bélico en Medio Oriente y un eventual endurecimiento de las condiciones financieras globales encendieron las alertas delBanco Central. En suInforme de Estabilidad Financiera (IEF)del primer semestre de 2026, publicado este martes, el organismo advirtió que undeterioro del escenario internacional podría tensionar el acceso al financiamiento de economías emergentes como Chiley generar efectos sobre la actividad, el empleo y los mercados locales.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Dólar abre al alza mientras el cobre retrocede en medio del estancamiento diplomático en Medio Oriente</w:t>
      </w:r>
    </w:p>
    <w:p>
      <w:pPr>
        <w:spacing w:before="40" w:after="60"/>
        <w:ind w:left="283"/>
      </w:pPr>
      <w:r>
        <w:rPr>
          <w:rFonts w:ascii="Arial" w:hAnsi="Arial"/>
          <w:color w:val="404040"/>
          <w:sz w:val="21"/>
        </w:rPr>
        <w:t>El dólar subió $5,1 hasta $906,1 este martes, revirtiendo parte de la caída a la zona de $900 del inicio de semana que se produjo ante reportes de esfuerzos diplomáticos entre EEUU e Irán que aún no han fructificado en un acuerdo. El cobre Comex retrocedió 1,4% a US$6,23 por libra, mientras las tasas del Tesoro estadounidense retomaron su escalada: la tasa a 10 años alcanzó máximos desde principios de 2025 y la de 30 años su mayor nivel desde 2007. Los agentes extranjeros inyectaron US$1.170 millones a su posición neta contra el peso chileno la semana pasada, llevando la posición total a US$13.400 millones, lo que genera una presión alcista estructural sobre el tipo de cambio que hace cada vez más difícil perforar el soporte de $900 de forma sostenida. El petróleo Brent continuó en torno a US$110 el barril, y el Banco Central de Chile elevó su Requerimiento de Capital Contracíclico ante los mayores riesgos globales.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Diego Peralta asumirá como nuevo director jurídico de la CMF</w:t>
      </w:r>
    </w:p>
    <w:p>
      <w:pPr>
        <w:spacing w:before="40" w:after="60"/>
        <w:ind w:left="283"/>
      </w:pPr>
      <w:r>
        <w:rPr>
          <w:rFonts w:ascii="Arial" w:hAnsi="Arial"/>
          <w:color w:val="404040"/>
          <w:sz w:val="21"/>
        </w:rPr>
        <w:t>La Comisión para el Mercado Financiero (CMF) anunció que el abogado Diego Peralta, socio del estudio Carey, asumirá el 1 de junio como director general jurídico en reemplazo de José Antonio Gaspar, quien dejó el regulador a mediados de marzo a petición de la presidenta Catherine Tornel. Peralta es abogado de la Universidad de Chile y se adjudicó el cargo mediante concurso público; actualmente colidera el grupo bancario y financiero de Carey, firma donde trabaja desde 1996. Su especialidad abarca la creación y estructuración de productos financieros, compraventas de compañías, emisión de títulos de deuda o capital locales e internacionales, y asuntos regulatorios financieros.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Eduardo Carvallo dejará la gerencia general de Cristalerías de Chile y directorio destaca sus 30 años de trayectoria</w:t>
      </w:r>
    </w:p>
    <w:p>
      <w:pPr>
        <w:spacing w:before="40" w:after="60"/>
        <w:ind w:left="283"/>
      </w:pPr>
      <w:r>
        <w:rPr>
          <w:rFonts w:ascii="Arial" w:hAnsi="Arial"/>
          <w:color w:val="404040"/>
          <w:sz w:val="21"/>
        </w:rPr>
        <w:t>Mediante un hecho esencial enviado a la CMF, Cristalerías de Chile —ligada al Grupo DF— informó que Eduardo Carvallo Infante dejará la gerencia general de la compañía el 30 de junio de 2026, tras más de 30 años en la empresa y nueve años como gerente general. El directorio destacó que bajo su gestión la firma consolidó su posición como líder en la industria del vidrio a nivel nacional e internacional, avanzando en excelencia operacional y desarrollo de sus distintas líneas de negocio. Hasta el 30 de junio se mantendrá un período de transición para asegurar la continuidad operacional, y el directorio se comprometió a informar oportunamente al mercado quién asumirá la gerencia general.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Alzas en bencinas empujan la electromovilidad en Chile: 1 de cada 10 autos vendidos en abril fue enchufable</w:t>
      </w:r>
    </w:p>
    <w:p>
      <w:pPr>
        <w:spacing w:before="40" w:after="60"/>
        <w:ind w:left="283"/>
      </w:pPr>
      <w:r>
        <w:rPr>
          <w:rFonts w:ascii="Arial" w:hAnsi="Arial"/>
          <w:color w:val="404040"/>
          <w:sz w:val="21"/>
        </w:rPr>
        <w:t>En abril de 2026, uno de cada diez autos vendidos en Chile fue de tecnología enchufable —eléctrico puro o híbrido enchufable—, la cifra más alta jamás registrada por la Asociación Nacional Automotriz de Chile (ANAC). Los autos 100% eléctricos registraron 1.496 unidades inscritas en el mes, el máximo histórico mensual, mientras que los híbridos enchufables sumaron 1.315 unidades, un alza de 535,3% respecto de abril de 2025, impulsada en parte por el alza en los combustibles derivada de la crisis en Medio Oriente. Pese al récord, Chile ocupa el cuarto lugar en América Latina en penetración de eléctricos, detrás de Brasil, Colombia y Uruguay, y el presidente de la ANAC proyecta que sin incentivos adicionales la participación de eléctricos podría terminar el año en torno a 5%. Se identificó como área pendiente el desarrollo de programas para incentivar la adopción en PYME y empresas de transporte, quienes acumulan mayor kilometraje.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La reservada cita Ergas-Valdés: los primeros pasos del nuevo embajador de Chile en EEUU</w:t>
      </w:r>
    </w:p>
    <w:p>
      <w:pPr>
        <w:spacing w:before="40" w:after="60"/>
        <w:ind w:left="283"/>
      </w:pPr>
      <w:r>
        <w:rPr>
          <w:rFonts w:ascii="Arial" w:hAnsi="Arial"/>
          <w:color w:val="404040"/>
          <w:sz w:val="21"/>
        </w:rPr>
        <w:t>El nuevo embajador de Chile en Estados Unidos, el empresario Andrés Ergas, se reunió por dos horas con su predecesor Juan Gabriel Valdés el 12 de mayo en una cita reservada en la residencia de Ergas en Lo Curro, donde conversaron sobre los desafíos de la política exterior chilena, estrategias para atraer inversiones y la operación práctica de la misión diplomática. Valdés le transmitió el desafío de diversificar las inversiones más allá de minerales críticos —litio y tierras raras—, prometiéndole metafóricamente una medalla si lo lograra, mientras Ergas expresó su interés en profundizar alianzas tecnológicas y en continuar iniciativas como los programas Chile-California y Chile-Massachusetts. Ergas ya asumió funciones en Washington y el 18 de mayo presentó sus cartas credenciales ante las autoridades estadounidenses, ratificando a los ocho funcionarios diplomáticos de carrera de la misión y comprometiéndose a no realizar cambios en el equipo.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CFA se prepara para el Senado y convoca a nueva ronda de economistas por ley miscelánea</w:t>
      </w:r>
    </w:p>
    <w:p>
      <w:pPr>
        <w:spacing w:before="40" w:after="60"/>
        <w:ind w:left="283"/>
      </w:pPr>
      <w:r>
        <w:rPr>
          <w:rFonts w:ascii="Arial" w:hAnsi="Arial"/>
          <w:color w:val="404040"/>
          <w:sz w:val="21"/>
        </w:rPr>
        <w:t>El Consejo Fiscal Autónomo (CFA) se prepara para una nueva intervención ante el Senado en el debate de la ley miscelánea de reactivación y reconstrucción nacional, para lo cual convocó a una nueva ronda de economistas expositores que incluyó a los exdirectores de Presupuestos Pablo Jorquera y Nicolás Bohme (el 12 de mayo) y al exsubernador del Banco Central y actual decano de la FEN-Universidad de Chile, José De Gregorio (el 16 de mayo). En su presentación ante la Cámara en mayo, el CFA identificó once riesgos fiscales del proyecto —nueve directos y dos indirectos—, entre ellos que el costo de la rebaja del Impuesto de Primera Categoría no se compensa con el mayor crecimiento, un alto costo fiscal del crédito tributario al empleo, riesgos por la exención transitoria del IVA a viviendas nuevas y el posible debilitamiento del cumplimiento tributario por medidas de repatriación de capitales e impuestos sustitutivos. El organismo, si bien valoró el foco procrecimiento del proyecto, alertó sobre incertidumbre en la materialización de los ahorros fiscales prometidos y en el traspaso del mayor crecimiento a ingresos fiscales futuros.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Tianqi asegura que embarcaciones y camiones eléctricos impulsarán boom de baterías de litio</w:t>
      </w:r>
    </w:p>
    <w:p>
      <w:pPr>
        <w:spacing w:before="40" w:after="60"/>
        <w:ind w:left="283"/>
      </w:pPr>
      <w:r>
        <w:rPr>
          <w:rFonts w:ascii="Arial" w:hAnsi="Arial"/>
          <w:color w:val="404040"/>
          <w:sz w:val="21"/>
        </w:rPr>
        <w:t>Frank Ha, gerente general de Tianqi Lithium —uno de los mayores productores chinos de litio—, afirmó que las proyecciones de demanda del mineral subestiman el auge de sectores emergentes como camiones, equipos mineros y embarcaciones impulsados por baterías, más allá de los vehículos eléctricos ya considerados. La demanda de litio ha crecido en promedio cerca de 30% anual durante esta década, y proyecciones de firmas como Wood Mackenzie y Fastmarkets estiman que la demanda anual podría llegar a entre 3,6 millones y 6,3 millones de toneladas en la próxima década, frente a 1,1 millón de toneladas en 2025. Tianqi enfrenta tensiones en su joint venture australiana con IGO —que opera la planta de Kwinana, con pérdidas— y el avance del acuerdo SQM-Codelco en Chile amenaza con diluir su participación en el litio del Atacama, que produce cerca de una quinta parte del litio global. Para mitigar la volatilidad del ciclo de precios, Tianqi está invirtiendo en baterías de estado sólido, reciclaje de materiales y nuevas joint ventures tecnológicas como con Welion New Energy Technology, donde controla el 58,5%.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Detienen al hijo del fundador de Mango en investigación por la muerte de su padre</w:t>
      </w:r>
    </w:p>
    <w:p>
      <w:pPr>
        <w:spacing w:before="40" w:after="60"/>
        <w:ind w:left="283"/>
      </w:pPr>
      <w:r>
        <w:rPr>
          <w:rFonts w:ascii="Arial" w:hAnsi="Arial"/>
          <w:color w:val="404040"/>
          <w:sz w:val="21"/>
        </w:rPr>
        <w:t>La policía de Cataluña detuvo este martes a Jonathan Andic, vicepresidente del consejo del grupo de moda español Mango, en el contexto de la investigación por la muerte de su padre, el fundador Isak Andic, ocurrida en diciembre de 2024 tras una caída de más de 100 metros por un barranco durante una excursión familiar cerca de Barcelona. La muerte, inicialmente catalogada como accidente, fue posteriormente reabierta como posible homicidio por los Mossos d'Esquadra, y Jonathan Andic quedó bajo custodia policial para declarar ante un juez de instrucción. La familia afirmó que su colaboración con la investigación ha sido y será máxima, y ratificó su convicción en la inocencia de Jonathan. Mango, con sede en Barcelona y sin cotización bursátil, declaró ventas de 3.800 millones de euros en 2025, y el patrimonio neto de Isak Andic al momento de su fallecimiento ascendía a US$4.500 millones según Forbes.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expresidente del Gobierno español José Luis Rodríguez Zapatero es investigado por tráfico de influencias</w:t>
      </w:r>
    </w:p>
    <w:p>
      <w:pPr>
        <w:spacing w:before="40" w:after="60"/>
        <w:ind w:left="283"/>
      </w:pPr>
      <w:r>
        <w:rPr>
          <w:rFonts w:ascii="Arial" w:hAnsi="Arial"/>
          <w:color w:val="404040"/>
          <w:sz w:val="21"/>
        </w:rPr>
        <w:t>La Audiencia Nacional de España formalizó la investigación del expresidente del Gobierno José Luis Rodríguez Zapatero por presunto tráfico de influencias y otros delitos relacionados, en el marco del caso Plus Ultra, que cuestiona el rescate estatal por 53 millones de euros otorgado en 2021 a la aerolínea española Plus Ultra a través del fondo SEPI durante la pandemia. La justicia registró la oficina de Zapatero en Madrid junto a tres sociedades mercantiles y lo citó a declarar el 2 de junio, en lo que constituye el primer caso en que un expresidente del Gobierno español es investigado formalmente desde la transición a la democracia. El caso suma presión política sobre el actual presidente Pedro Sánchez, estrecho aliado de Zapatero, quien ya enfrenta investigaciones separadas que involucran a su mujer y su hermano. El Partido Popular describió el hecho como otra manifestación de corrupción vinculada al círculo más cercano del socialismo español.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Un cierre más prolongado de Ormuz pasa a ser el escenario base, elevando las alarmas por sus efectos recesivos</w:t>
      </w:r>
    </w:p>
    <w:p>
      <w:pPr>
        <w:spacing w:before="40" w:after="60"/>
        <w:ind w:left="283"/>
      </w:pPr>
      <w:r>
        <w:rPr>
          <w:rFonts w:ascii="Arial" w:hAnsi="Arial"/>
          <w:color w:val="404040"/>
          <w:sz w:val="21"/>
        </w:rPr>
        <w:t>Los principales bancos de inversión y organismos internacionales han comenzado a revisar sus escenarios base asumiendo que el bloqueo del estrecho de Ormuz se extenderá durante meses, lo que representa una restricción estructural de oferta de energía global en lugar de un shock transitorio. Moody's Analytics estima reducciones del crecimiento del PIB real de entre 0,2 y 0,8 puntos porcentuales para las principales economías con un Brent sostenido entre US$90 y US$110, mientras JPMorgan revisó su proyección para el crudo a un promedio de US$96 por barril en 2026, incluso tras una eventual reapertura del estrecho que su escenario base sitúa en junio. La AIE calificó la situación como la mayor crisis energética de la historia, con reservas mundiales cayendo a mínimos históricos, y UBS estima que las reservas globales podrían bajar a 7.600 millones de barriles a fin de mayo. Morgan Stanley advierte que un escenario de escalada con precios sobre US$150 por barril implicaría escasez física, disrupciones en la cadena de suministro y consecuencias recesivas globales.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Efecto FOMO: Mega OPA de SpaceX pone precio al miedo de quedarse fuera</w:t>
      </w:r>
    </w:p>
    <w:p>
      <w:pPr>
        <w:spacing w:before="40" w:after="60"/>
        <w:ind w:left="283"/>
      </w:pPr>
      <w:r>
        <w:rPr>
          <w:rFonts w:ascii="Arial" w:hAnsi="Arial"/>
          <w:color w:val="404040"/>
          <w:sz w:val="21"/>
        </w:rPr>
        <w:t>SpaceX apunta a una valorización de US$2 billones en su inminente OPA, una cifra que muchos analistas consideran difícil de justificar con métricas tradicionales dado que implica un múltiplo de cerca de 100 veces sus ingresos de aproximadamente US$20.000 millones en 2025. El experto en valorización Aswath Damodaran prefiere una valorización más cercana a US$1 billón, aunque reconoce que la opcionalidad de SpaceX —que incluye contratos gubernamentales de cohetes, Starlink, centros de datos espaciales y proyectos en la Luna y Marte— es hoy más rica que la de Tesla. El principal motor de la demanda sería el FOMO (miedo a quedarse fuera): quienes compraron Tesla multiplicaron por más de 27 veces su inversión en la última década, lo que lleva a muchos analistas a comprar SpaceX preventivamente. La compañía planea destinar hasta el 30% de las acciones a inversionistas retail, lo que en una colocación de US$75.000 millones equivaldría a US$22.500 millones, más del doble de las compras netas totales que Tesla ha recibido de inversores individuales en el último año.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Adhesión al RIGI y perforaciones en Argentina: la apuesta de GeoPark para consolidar su presencia en Vaca Muerta</w:t>
      </w:r>
    </w:p>
    <w:p>
      <w:pPr>
        <w:spacing w:before="40" w:after="60"/>
        <w:ind w:left="283"/>
      </w:pPr>
      <w:r>
        <w:rPr>
          <w:rFonts w:ascii="Arial" w:hAnsi="Arial"/>
          <w:color w:val="404040"/>
          <w:sz w:val="21"/>
        </w:rPr>
        <w:t>GeoPark, controlada por el Grupo Gilinski, solicitó su adhesión al Régimen de Incentivo para Grandes Inversiones (RIGI) argentino para desarrollar un hub de petróleo no convencional en las áreas Loma Jarillosa Este y Puesto Silva Oeste en Neuquén, con una inversión superior a US$1.000 millones. El proyecto busca elevar la producción conjunta de ambos activos desde 1.500 hasta 20.000 barriles diarios en tres años, y contempla integrar las dos áreas bajo un Vehículo de Proyecto Único (VPU). GeoPark adquirió estas áreas de Pluspetrol en septiembre de 2025 por US$115 millones, y en marzo de 2026 inició su primera campaña de perforación con una inversión de entre US$80 millones y US$100 millones para el año, vinculando a más de 30 empresas contratistas. En paralelo, la compañía se retiró de la disputa por los activos de Frontera Energy en Colombia —donde Parex Resources ofreció US$500 millones, superando en US$125 millones la propuesta de GeoPark— priorizando la disciplina de capital sobre la expansión inorgánica.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El fallido ataque judicial de Musk contra OpenAI podría dejar cicatrices duraderas en la reputación de su CEO</w:t>
      </w:r>
    </w:p>
    <w:p>
      <w:pPr>
        <w:spacing w:before="40" w:after="60"/>
        <w:ind w:left="283"/>
      </w:pPr>
      <w:r>
        <w:rPr>
          <w:rFonts w:ascii="Arial" w:hAnsi="Arial"/>
          <w:color w:val="404040"/>
          <w:sz w:val="21"/>
        </w:rPr>
        <w:t>Un jurado federal desestimó la demanda de Elon Musk contra OpenAI, determinando que el excofundador esperó demasiado tiempo para presentar la acción en que alegaba que la organización sin fines de lucro fue convertida ilegítimamente en una corporación con fines de lucro, despejando el camino hacia una posible IPO de OpenAI valorada en hasta US$1 billón. Sin embargo, el juicio dejó al CEO Sam Altman con daño reputacional significativo: ocho testigos, incluido el propio Musk, declararon bajo juramento que Altman los había engañado o mentido, y se divulgaron documentos que muestran inversiones millonarias de Altman en compañías que trabajaban con OpenAI, generando dudas sobre conflictos de interés. La exdirectora de Tecnología Mira Murati declaró en video que Altman no era siempre honesto y que socavaba el trabajo de sus equipos, mientras el cofundador Ilya Sutskever había acumulado ejemplos de sus falencias de liderazgo durante más de un año. Los analistas de Wedbush calificaron el fallo como una gran victoria para OpenAI, aunque con rasguños en la imagen de Altman que cada inversionista institucional deberá ponderar antes de participar en una eventual IPO.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Pablo Zamora deja Fundación Chile y vuelve al mundo privado con nueva startup y proyectos</w:t>
      </w:r>
    </w:p>
    <w:p>
      <w:pPr>
        <w:spacing w:before="40" w:after="60"/>
        <w:ind w:left="283"/>
      </w:pPr>
      <w:r>
        <w:rPr>
          <w:rFonts w:ascii="Arial" w:hAnsi="Arial"/>
          <w:color w:val="404040"/>
          <w:sz w:val="21"/>
        </w:rPr>
        <w:t>Pablo Zamora, cofundador de NotCo y Rebel Factory, dejó la presidencia de Fundación Chile tras cuatro años de gestión que él mismo describió como un proceso de transformación drástico y doloroso, que implicó la salida de prácticamente toda la primera línea ejecutiva y un rediseño de la gobernanza, logrando que la fundación pasara a administrar cinco veces más recursos que al inicio de su gestión. Su siguiente apuesta es BioLumen, startup de bebidas funcionales a base de fibra de celulosa fundada junto a Paolo Costa, Robert Lustig y JiaXin Huai, con sede en San Francisco y una subsidiaria reciente en Irlanda, cuya tecnología busca atrapar azúcares y grasas en el tracto digestivo. Zamora también intensificará su rol como inversionista ángel en más de 15 startups y se integrará a la articulación política de la generación cercana al exPresidente Boric, con miras a lo que proyecta será un retorno al gobierno de esa generación en 2030. Fue crítico con el gobierno actual del Presidente José Antonio Kast respecto a ciencia, tecnología e innovación, y manifestó distancia del rumbo actual de NotCo tras vender sus acciones en 2021.</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Un complejo arranque económico</w:t>
      </w:r>
    </w:p>
    <w:p>
      <w:pPr>
        <w:spacing w:before="40" w:after="60"/>
        <w:ind w:left="283"/>
      </w:pPr>
      <w:r>
        <w:rPr>
          <w:rFonts w:ascii="Arial" w:hAnsi="Arial"/>
          <w:color w:val="404040"/>
          <w:sz w:val="21"/>
        </w:rPr>
        <w:t>La economía chilena registró su peor trimestre desde la pandemia en el primer trimestre de 2026, con una contracción de 0,5% respecto al mismo período de 2025, cifra más débil que el Imacec preliminar de -0,3% y que las previsiones de los expertos. El sector externo fue el principal factor negativo: las exportaciones cayeron 4,9% por menores ventas de cobre y frutas, mientras las importaciones crecieron solo 2%; el resultado fue parcialmente compensado por un alza de 2,1% en la demanda interna, sostenida por el consumo de hogares (+2,5%) y la formación bruta de capital fijo (+3,2%). Las proyecciones de los expertos apuntan ahora a un crecimiento anual de entre 1,7% y 1,9%, por debajo del rango de 1,5%-2,5% estimado por el Banco Central en marzo, lo que hace difícil alcanzar el punto medio del rango oficial. El editorial llama a acelerar iniciativas de reactivación e inversión, con especial énfasis en medidas para reducir el desempleo —que acumula 39 meses sobre 8%— y en aprovechar el potencial del proyecto de sala cuna universal para incorporar a cerca de 900 mil mujeres al mercado laboral formal.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planificación patrimonial no es un privilegio</w:t>
      </w:r>
    </w:p>
    <w:p>
      <w:pPr>
        <w:spacing w:before="40" w:after="60"/>
        <w:ind w:left="283"/>
      </w:pPr>
      <w:r>
        <w:rPr>
          <w:rFonts w:ascii="Arial" w:hAnsi="Arial"/>
          <w:color w:val="404040"/>
          <w:sz w:val="21"/>
        </w:rPr>
        <w:t>La columna de opinión plantea que el debate sobre cambios tributarios en materia de donaciones debe ir más allá de la lógica impositiva y abordar también la gobernanza, continuidad y responsabilidad intergeneracional de las empresas familiares. El autor argumenta que Chile necesita reglas claras, estables y razonables que permitan a las familias empresarias proyectarse en el largo plazo, y que el aumento de consultas sobre traspaso de patrimonio —impulsado en parte por incentivos transitorios o ventanas excepcionales— refleja procesos que de todas formas deben ocurrir. Rechaza reducir la discusión a una crítica sobre grandes patrimonios, señalando que detrás de estos procesos hay empresas que generan empleo, inversión y cohesión social. Concluye que la buena planificación patrimonial debe verse como parte de una cultura de responsabilidad y continuidad que Chile necesita fortalecer.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país que les estamos heredando</w:t>
      </w:r>
    </w:p>
    <w:p>
      <w:pPr>
        <w:spacing w:before="40" w:after="60"/>
        <w:ind w:left="283"/>
      </w:pPr>
      <w:r>
        <w:rPr>
          <w:rFonts w:ascii="Arial" w:hAnsi="Arial"/>
          <w:color w:val="404040"/>
          <w:sz w:val="21"/>
        </w:rPr>
        <w:t>La columna de opinión advierte que Chile lidera el desempleo juvenil en la OCDE, con uno de cada cuatro jóvenes que busca trabajo sin encontrarlo y una tasa juvenil que triplica la general, lo que marca trayectorias laborales e inhibe la movilidad social de manera permanente. El autor señala que una economía que crece al 2% y produce la mitad que el promedio OCDE por hora trabajada no puede generar las oportunidades que la generación joven necesita, especialmente en un contexto de costos salariales crecientes que desincentivan la contratación formal. Para revertir la situación propone un conjunto de medidas estructurales: formación pertinente al mercado laboral, impuestos que incentiven la inversión, permisología más ágil y reglas laborales que reduzcan el riesgo de contratar. Apunta a la sala cuna universal, la reducción de la informalidad y una mayor cohesión social como elementos clave del país que la generación joven merece heredar.</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19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